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48E1B42F" w:rsidR="00E90E49" w:rsidRPr="0042395E" w:rsidRDefault="00E90E49" w:rsidP="004C27DD">
      <w:pPr>
        <w:pStyle w:val="3GPPHeader"/>
        <w:spacing w:after="60"/>
        <w:jc w:val="left"/>
        <w:rPr>
          <w:sz w:val="32"/>
          <w:szCs w:val="32"/>
          <w:highlight w:val="yellow"/>
          <w:lang w:val="en-US"/>
        </w:rPr>
      </w:pPr>
      <w:r w:rsidRPr="0042395E">
        <w:rPr>
          <w:lang w:val="en-US"/>
        </w:rPr>
        <w:t>3GPP TSG-RAN WG</w:t>
      </w:r>
      <w:r w:rsidR="008F1C4E" w:rsidRPr="0042395E">
        <w:rPr>
          <w:lang w:val="en-US"/>
        </w:rPr>
        <w:t>1</w:t>
      </w:r>
      <w:r w:rsidRPr="0042395E">
        <w:rPr>
          <w:lang w:val="en-US"/>
        </w:rPr>
        <w:t xml:space="preserve"> </w:t>
      </w:r>
      <w:r w:rsidR="00132861" w:rsidRPr="0042395E">
        <w:rPr>
          <w:lang w:val="en-US"/>
        </w:rPr>
        <w:t>Meeting #9</w:t>
      </w:r>
      <w:r w:rsidR="0031030D" w:rsidRPr="0042395E">
        <w:rPr>
          <w:lang w:val="en-US"/>
        </w:rPr>
        <w:t>8</w:t>
      </w:r>
      <w:r w:rsidRPr="0042395E">
        <w:rPr>
          <w:lang w:val="en-US"/>
        </w:rPr>
        <w:tab/>
      </w:r>
      <w:r w:rsidR="00C721C2" w:rsidRPr="0042395E">
        <w:rPr>
          <w:sz w:val="32"/>
          <w:szCs w:val="32"/>
          <w:lang w:val="en-US"/>
        </w:rPr>
        <w:t>R1-</w:t>
      </w:r>
      <w:r w:rsidR="00C721C2" w:rsidRPr="00371738">
        <w:rPr>
          <w:sz w:val="32"/>
          <w:szCs w:val="32"/>
          <w:lang w:val="en-US"/>
        </w:rPr>
        <w:t>19</w:t>
      </w:r>
      <w:r w:rsidR="00371738" w:rsidRPr="00371738">
        <w:rPr>
          <w:sz w:val="32"/>
          <w:szCs w:val="32"/>
          <w:lang w:val="en-US"/>
        </w:rPr>
        <w:t>08020</w:t>
      </w:r>
    </w:p>
    <w:p w14:paraId="41473397" w14:textId="1FD93736" w:rsidR="00E90E49" w:rsidRPr="0042395E" w:rsidRDefault="0031030D" w:rsidP="004C27DD">
      <w:pPr>
        <w:pStyle w:val="3GPPHeader"/>
        <w:jc w:val="left"/>
        <w:rPr>
          <w:lang w:val="en-US"/>
        </w:rPr>
      </w:pPr>
      <w:r w:rsidRPr="0042395E">
        <w:rPr>
          <w:lang w:val="en-US"/>
        </w:rPr>
        <w:t xml:space="preserve">Prague, Czech Republic, </w:t>
      </w:r>
      <w:r w:rsidR="009C5E24">
        <w:rPr>
          <w:lang w:val="en-US"/>
        </w:rPr>
        <w:t>26</w:t>
      </w:r>
      <w:r w:rsidR="009C5E24" w:rsidRPr="009C5E24">
        <w:rPr>
          <w:vertAlign w:val="superscript"/>
          <w:lang w:val="en-US"/>
        </w:rPr>
        <w:t>th</w:t>
      </w:r>
      <w:r w:rsidR="009C5E24">
        <w:rPr>
          <w:lang w:val="en-US"/>
        </w:rPr>
        <w:t xml:space="preserve"> </w:t>
      </w:r>
      <w:r w:rsidR="002702E0">
        <w:rPr>
          <w:lang w:val="en-US"/>
        </w:rPr>
        <w:t xml:space="preserve">– </w:t>
      </w:r>
      <w:r w:rsidR="00016BEC">
        <w:rPr>
          <w:lang w:val="en-US"/>
        </w:rPr>
        <w:t>30</w:t>
      </w:r>
      <w:r w:rsidR="00016BEC" w:rsidRPr="00016BEC">
        <w:rPr>
          <w:vertAlign w:val="superscript"/>
          <w:lang w:val="en-US"/>
        </w:rPr>
        <w:t>th</w:t>
      </w:r>
      <w:r w:rsidR="009C5E24">
        <w:rPr>
          <w:lang w:val="en-US"/>
        </w:rPr>
        <w:t xml:space="preserve"> </w:t>
      </w:r>
      <w:r w:rsidRPr="0042395E">
        <w:rPr>
          <w:lang w:val="en-US"/>
        </w:rPr>
        <w:t>August 2019</w:t>
      </w:r>
    </w:p>
    <w:p w14:paraId="65E58E62" w14:textId="77777777" w:rsidR="001823D7" w:rsidRPr="0042395E" w:rsidRDefault="001823D7" w:rsidP="004C27DD">
      <w:pPr>
        <w:pStyle w:val="3GPPHeader"/>
        <w:jc w:val="left"/>
        <w:rPr>
          <w:lang w:val="en-US"/>
        </w:rPr>
      </w:pPr>
    </w:p>
    <w:p w14:paraId="63930151" w14:textId="3074D98C" w:rsidR="00E90E49" w:rsidRPr="0042395E" w:rsidRDefault="00E90E49" w:rsidP="004C27DD">
      <w:pPr>
        <w:pStyle w:val="3GPPHeader"/>
        <w:jc w:val="left"/>
        <w:rPr>
          <w:sz w:val="22"/>
          <w:lang w:val="en-US"/>
        </w:rPr>
      </w:pPr>
      <w:r w:rsidRPr="0042395E">
        <w:rPr>
          <w:sz w:val="22"/>
          <w:lang w:val="en-US"/>
        </w:rPr>
        <w:t>Agenda Item:</w:t>
      </w:r>
      <w:r w:rsidRPr="0042395E">
        <w:rPr>
          <w:sz w:val="22"/>
          <w:lang w:val="en-US"/>
        </w:rPr>
        <w:tab/>
      </w:r>
      <w:r w:rsidR="009052BD" w:rsidRPr="0042395E">
        <w:rPr>
          <w:sz w:val="22"/>
          <w:lang w:val="en-US"/>
        </w:rPr>
        <w:t>6.2.</w:t>
      </w:r>
      <w:r w:rsidR="00371738">
        <w:rPr>
          <w:sz w:val="22"/>
          <w:lang w:val="en-US"/>
        </w:rPr>
        <w:t>1</w:t>
      </w:r>
      <w:r w:rsidR="009052BD" w:rsidRPr="0042395E">
        <w:rPr>
          <w:sz w:val="22"/>
          <w:lang w:val="en-US"/>
        </w:rPr>
        <w:t>.3</w:t>
      </w:r>
    </w:p>
    <w:p w14:paraId="19A67BFC" w14:textId="77777777" w:rsidR="00E90E49" w:rsidRPr="0042395E" w:rsidRDefault="003D3C45" w:rsidP="004C27DD">
      <w:pPr>
        <w:pStyle w:val="3GPPHeader"/>
        <w:jc w:val="left"/>
        <w:rPr>
          <w:sz w:val="22"/>
          <w:lang w:val="en-US"/>
        </w:rPr>
      </w:pPr>
      <w:r w:rsidRPr="0042395E">
        <w:rPr>
          <w:sz w:val="22"/>
          <w:lang w:val="en-US"/>
        </w:rPr>
        <w:t>Source:</w:t>
      </w:r>
      <w:r w:rsidR="00E90E49" w:rsidRPr="0042395E">
        <w:rPr>
          <w:sz w:val="22"/>
          <w:lang w:val="en-US"/>
        </w:rPr>
        <w:tab/>
      </w:r>
      <w:r w:rsidR="00F64C2B" w:rsidRPr="0042395E">
        <w:rPr>
          <w:sz w:val="22"/>
          <w:lang w:val="en-US"/>
        </w:rPr>
        <w:t>Ericsson</w:t>
      </w:r>
    </w:p>
    <w:p w14:paraId="22EF3A2E" w14:textId="20F32568" w:rsidR="00E90E49" w:rsidRPr="0042395E" w:rsidRDefault="003D3C45" w:rsidP="004C27DD">
      <w:pPr>
        <w:pStyle w:val="3GPPHeader"/>
        <w:jc w:val="left"/>
        <w:rPr>
          <w:sz w:val="22"/>
          <w:lang w:val="en-US"/>
        </w:rPr>
      </w:pPr>
      <w:r w:rsidRPr="0042395E">
        <w:rPr>
          <w:sz w:val="22"/>
          <w:lang w:val="en-US"/>
        </w:rPr>
        <w:t>Title:</w:t>
      </w:r>
      <w:r w:rsidR="00E90E49" w:rsidRPr="0042395E">
        <w:rPr>
          <w:sz w:val="22"/>
          <w:lang w:val="en-US"/>
        </w:rPr>
        <w:tab/>
      </w:r>
      <w:r w:rsidR="00970E38" w:rsidRPr="0042395E">
        <w:rPr>
          <w:sz w:val="22"/>
          <w:lang w:val="en-US"/>
        </w:rPr>
        <w:t>Scheduling of multiple DL/UL transport blocks</w:t>
      </w:r>
      <w:r w:rsidR="00F22ADB" w:rsidRPr="0042395E">
        <w:rPr>
          <w:sz w:val="22"/>
          <w:lang w:val="en-US"/>
        </w:rPr>
        <w:t xml:space="preserve"> in LTE-MTC</w:t>
      </w:r>
    </w:p>
    <w:p w14:paraId="4E97C310" w14:textId="680C1339" w:rsidR="00E90E49" w:rsidRPr="0042395E" w:rsidRDefault="00E90E49" w:rsidP="004C27DD">
      <w:pPr>
        <w:pStyle w:val="3GPPHeader"/>
        <w:jc w:val="left"/>
        <w:rPr>
          <w:sz w:val="22"/>
          <w:lang w:val="en-US"/>
        </w:rPr>
      </w:pPr>
      <w:r w:rsidRPr="0042395E">
        <w:rPr>
          <w:sz w:val="22"/>
          <w:lang w:val="en-US"/>
        </w:rPr>
        <w:t>Document for:</w:t>
      </w:r>
      <w:r w:rsidRPr="0042395E">
        <w:rPr>
          <w:sz w:val="22"/>
          <w:lang w:val="en-US"/>
        </w:rPr>
        <w:tab/>
        <w:t>Discussion</w:t>
      </w:r>
      <w:r w:rsidR="00F22ADB" w:rsidRPr="0042395E">
        <w:rPr>
          <w:sz w:val="22"/>
          <w:lang w:val="en-US"/>
        </w:rPr>
        <w:t xml:space="preserve"> and </w:t>
      </w:r>
      <w:r w:rsidRPr="0042395E">
        <w:rPr>
          <w:sz w:val="22"/>
          <w:lang w:val="en-US"/>
        </w:rPr>
        <w:t>Decision</w:t>
      </w:r>
    </w:p>
    <w:p w14:paraId="2F231A2D" w14:textId="77777777" w:rsidR="00E90E49" w:rsidRPr="0042395E" w:rsidRDefault="00E90E49" w:rsidP="004C27DD">
      <w:pPr>
        <w:rPr>
          <w:lang w:val="en-US"/>
        </w:rPr>
      </w:pPr>
    </w:p>
    <w:p w14:paraId="70AFF042" w14:textId="77777777" w:rsidR="00E90E49" w:rsidRPr="0042395E" w:rsidRDefault="00230D18" w:rsidP="004C27DD">
      <w:pPr>
        <w:pStyle w:val="Heading1"/>
        <w:rPr>
          <w:lang w:val="en-US"/>
        </w:rPr>
      </w:pPr>
      <w:r w:rsidRPr="0042395E">
        <w:rPr>
          <w:lang w:val="en-US"/>
        </w:rPr>
        <w:t>1</w:t>
      </w:r>
      <w:r w:rsidRPr="0042395E">
        <w:rPr>
          <w:lang w:val="en-US"/>
        </w:rPr>
        <w:tab/>
      </w:r>
      <w:r w:rsidR="00E90E49" w:rsidRPr="0042395E">
        <w:rPr>
          <w:lang w:val="en-US"/>
        </w:rPr>
        <w:t>Introduction</w:t>
      </w:r>
    </w:p>
    <w:p w14:paraId="1A92CDBC" w14:textId="624216C8" w:rsidR="00F30951" w:rsidRPr="0042395E" w:rsidRDefault="00F30951" w:rsidP="004C27DD">
      <w:pPr>
        <w:rPr>
          <w:rFonts w:ascii="Arial" w:hAnsi="Arial" w:cs="Arial"/>
          <w:lang w:val="en-US"/>
        </w:rPr>
      </w:pPr>
      <w:r w:rsidRPr="0042395E">
        <w:rPr>
          <w:rFonts w:ascii="Arial" w:hAnsi="Arial" w:cs="Arial"/>
          <w:lang w:val="en-US"/>
        </w:rPr>
        <w:t>In the Work Item (WI) for Rel-16 MTC enhancements for LTE, one of the objectives is scheduling enhancements</w:t>
      </w:r>
      <w:r w:rsidR="001814BE" w:rsidRPr="0042395E">
        <w:rPr>
          <w:rFonts w:ascii="Arial" w:hAnsi="Arial" w:cs="Arial"/>
          <w:lang w:val="en-US"/>
        </w:rPr>
        <w:t xml:space="preserve"> </w:t>
      </w:r>
      <w:r w:rsidR="001814BE" w:rsidRPr="0042395E">
        <w:rPr>
          <w:rFonts w:ascii="Arial" w:hAnsi="Arial" w:cs="Arial"/>
          <w:lang w:val="en-US"/>
        </w:rPr>
        <w:fldChar w:fldCharType="begin"/>
      </w:r>
      <w:r w:rsidR="001814BE" w:rsidRPr="0042395E">
        <w:rPr>
          <w:rFonts w:ascii="Arial" w:hAnsi="Arial" w:cs="Arial"/>
          <w:lang w:val="en-US"/>
        </w:rPr>
        <w:instrText xml:space="preserve"> REF _Ref521421708 \r \h </w:instrText>
      </w:r>
      <w:r w:rsidR="007E197D" w:rsidRPr="0042395E">
        <w:rPr>
          <w:rFonts w:ascii="Arial" w:hAnsi="Arial" w:cs="Arial"/>
          <w:lang w:val="en-US"/>
        </w:rPr>
        <w:instrText xml:space="preserve"> \* MERGEFORMAT </w:instrText>
      </w:r>
      <w:r w:rsidR="001814BE" w:rsidRPr="0042395E">
        <w:rPr>
          <w:rFonts w:ascii="Arial" w:hAnsi="Arial" w:cs="Arial"/>
          <w:lang w:val="en-US"/>
        </w:rPr>
      </w:r>
      <w:r w:rsidR="001814BE" w:rsidRPr="0042395E">
        <w:rPr>
          <w:rFonts w:ascii="Arial" w:hAnsi="Arial" w:cs="Arial"/>
          <w:lang w:val="en-US"/>
        </w:rPr>
        <w:fldChar w:fldCharType="separate"/>
      </w:r>
      <w:r w:rsidR="00EB3DEC">
        <w:rPr>
          <w:rFonts w:ascii="Arial" w:hAnsi="Arial" w:cs="Arial"/>
          <w:lang w:val="en-US"/>
        </w:rPr>
        <w:t>[1]</w:t>
      </w:r>
      <w:r w:rsidR="001814BE" w:rsidRPr="0042395E">
        <w:rPr>
          <w:rFonts w:ascii="Arial" w:hAnsi="Arial" w:cs="Arial"/>
          <w:lang w:val="en-US"/>
        </w:rPr>
        <w:fldChar w:fldCharType="end"/>
      </w:r>
      <w:r w:rsidRPr="0042395E">
        <w:rPr>
          <w:rFonts w:ascii="Arial" w:hAnsi="Arial" w:cs="Arial"/>
          <w:lang w:val="en-US"/>
        </w:rPr>
        <w:t>:</w:t>
      </w:r>
    </w:p>
    <w:p w14:paraId="68F4BDAF" w14:textId="11BB2ABE" w:rsidR="00795F78" w:rsidRPr="0042395E" w:rsidRDefault="00F30951" w:rsidP="004C27DD">
      <w:pPr>
        <w:rPr>
          <w:rFonts w:ascii="Arial" w:hAnsi="Arial" w:cs="Arial"/>
          <w:lang w:val="en-US"/>
        </w:rPr>
      </w:pPr>
      <w:r w:rsidRPr="0042395E">
        <w:rPr>
          <w:rFonts w:ascii="Arial" w:hAnsi="Arial" w:cs="Arial"/>
          <w:noProof/>
          <w:lang w:val="en-US"/>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72EB8E30" w14:textId="366B9E30" w:rsidR="00A32752" w:rsidRPr="0042395E" w:rsidRDefault="00C84B11" w:rsidP="004C27DD">
      <w:pPr>
        <w:rPr>
          <w:rFonts w:ascii="Arial" w:hAnsi="Arial" w:cs="Arial"/>
          <w:lang w:val="en-US"/>
        </w:rPr>
      </w:pPr>
      <w:r w:rsidRPr="0042395E">
        <w:rPr>
          <w:rFonts w:ascii="Arial" w:hAnsi="Arial" w:cs="Arial"/>
          <w:lang w:val="en-US"/>
        </w:rPr>
        <w:t>A</w:t>
      </w:r>
      <w:r w:rsidR="008B5A5B" w:rsidRPr="0042395E">
        <w:rPr>
          <w:rFonts w:ascii="Arial" w:hAnsi="Arial" w:cs="Arial"/>
          <w:lang w:val="en-US"/>
        </w:rPr>
        <w:t>t RAN1#97 the following Working assumptions was agreed:</w:t>
      </w:r>
      <w:r w:rsidRPr="0042395E">
        <w:rPr>
          <w:rFonts w:ascii="Arial" w:hAnsi="Arial" w:cs="Arial"/>
          <w:lang w:val="en-US"/>
        </w:rPr>
        <w:t xml:space="preserve"> </w:t>
      </w:r>
    </w:p>
    <w:p w14:paraId="2E2DA39D" w14:textId="77777777" w:rsidR="00A32752" w:rsidRPr="0042395E" w:rsidRDefault="00A32752" w:rsidP="00A32752">
      <w:pPr>
        <w:tabs>
          <w:tab w:val="left" w:pos="1701"/>
        </w:tabs>
        <w:spacing w:after="0" w:line="240" w:lineRule="auto"/>
        <w:ind w:left="1701" w:hanging="1701"/>
        <w:rPr>
          <w:rFonts w:ascii="Times New Roman" w:eastAsia="Times New Roman" w:hAnsi="Times New Roman" w:cs="Arial"/>
          <w:b/>
          <w:bCs/>
          <w:i/>
          <w:color w:val="2F5496" w:themeColor="accent1" w:themeShade="BF"/>
          <w:sz w:val="20"/>
          <w:szCs w:val="20"/>
          <w:lang w:val="en-US" w:eastAsia="zh-CN"/>
        </w:rPr>
      </w:pPr>
      <w:r w:rsidRPr="0042395E">
        <w:rPr>
          <w:rFonts w:ascii="Times New Roman" w:eastAsia="Times New Roman" w:hAnsi="Times New Roman" w:cs="Arial"/>
          <w:b/>
          <w:bCs/>
          <w:i/>
          <w:color w:val="2F5496" w:themeColor="accent1" w:themeShade="BF"/>
          <w:sz w:val="20"/>
          <w:szCs w:val="20"/>
          <w:lang w:val="en-US" w:eastAsia="zh-CN"/>
        </w:rPr>
        <w:t>Working assumption</w:t>
      </w:r>
    </w:p>
    <w:p w14:paraId="27EA7DCD" w14:textId="77777777" w:rsidR="00A32752" w:rsidRPr="0042395E" w:rsidRDefault="00A32752" w:rsidP="00D43D4E">
      <w:pPr>
        <w:numPr>
          <w:ilvl w:val="0"/>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For unicast, scheduling of initial and retransmission TB(s) within one DCI is supported.</w:t>
      </w:r>
    </w:p>
    <w:p w14:paraId="69E8EB0D" w14:textId="77777777" w:rsidR="00A32752" w:rsidRPr="0042395E" w:rsidRDefault="00A32752" w:rsidP="00D43D4E">
      <w:pPr>
        <w:numPr>
          <w:ilvl w:val="0"/>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Till the RAN1#98 meeting, consider potential simplifications that can help achieve a tradeoff between scheduling flexibility and DCI size. For example:</w:t>
      </w:r>
    </w:p>
    <w:p w14:paraId="278E39CD"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 xml:space="preserve">Configurable maximum number of TBs per grant </w:t>
      </w:r>
    </w:p>
    <w:p w14:paraId="164C2C6A"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 xml:space="preserve">Maximum size of DCI </w:t>
      </w:r>
    </w:p>
    <w:p w14:paraId="0350A82B"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Joint coding of DCI fields</w:t>
      </w:r>
    </w:p>
    <w:p w14:paraId="48501BF0"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Reduced TBS choices</w:t>
      </w:r>
    </w:p>
    <w:p w14:paraId="444CA75F"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Reduced resource allocation choices</w:t>
      </w:r>
    </w:p>
    <w:p w14:paraId="4BBDC88B" w14:textId="77777777" w:rsidR="00A32752" w:rsidRPr="0042395E" w:rsidRDefault="00A32752" w:rsidP="00D43D4E">
      <w:pPr>
        <w:numPr>
          <w:ilvl w:val="1"/>
          <w:numId w:val="18"/>
        </w:numPr>
        <w:spacing w:after="0" w:line="240" w:lineRule="auto"/>
        <w:rPr>
          <w:rFonts w:ascii="Times" w:eastAsia="Batang" w:hAnsi="Times" w:cs="Times New Roman"/>
          <w:i/>
          <w:color w:val="2F5496" w:themeColor="accent1" w:themeShade="BF"/>
          <w:sz w:val="20"/>
          <w:szCs w:val="24"/>
          <w:lang w:val="en-US"/>
        </w:rPr>
      </w:pPr>
      <w:r w:rsidRPr="0042395E">
        <w:rPr>
          <w:rFonts w:ascii="Times" w:eastAsia="Batang" w:hAnsi="Times" w:cs="Times New Roman"/>
          <w:i/>
          <w:color w:val="2F5496" w:themeColor="accent1" w:themeShade="BF"/>
          <w:sz w:val="20"/>
          <w:szCs w:val="24"/>
          <w:lang w:val="en-US"/>
        </w:rPr>
        <w:t>Reduced/eliminated RV field</w:t>
      </w:r>
    </w:p>
    <w:p w14:paraId="4AC35EF4" w14:textId="77777777" w:rsidR="00A32752" w:rsidRPr="0042395E" w:rsidRDefault="00A32752" w:rsidP="00A32752">
      <w:pPr>
        <w:spacing w:after="0" w:line="240" w:lineRule="auto"/>
        <w:contextualSpacing/>
        <w:rPr>
          <w:rFonts w:ascii="Times New Roman" w:eastAsia="MS Gothic" w:hAnsi="Times New Roman" w:cs="Times New Roman"/>
          <w:i/>
          <w:color w:val="2F5496" w:themeColor="accent1" w:themeShade="BF"/>
          <w:kern w:val="2"/>
          <w:sz w:val="20"/>
          <w:szCs w:val="20"/>
          <w:lang w:val="en-US" w:eastAsia="ja-JP"/>
        </w:rPr>
      </w:pPr>
    </w:p>
    <w:p w14:paraId="441E840B" w14:textId="77777777" w:rsidR="00A32752" w:rsidRPr="0042395E" w:rsidRDefault="00A32752" w:rsidP="00A32752">
      <w:pPr>
        <w:tabs>
          <w:tab w:val="left" w:pos="1701"/>
        </w:tabs>
        <w:spacing w:after="0" w:line="240" w:lineRule="auto"/>
        <w:ind w:left="1701" w:hanging="1701"/>
        <w:rPr>
          <w:rFonts w:ascii="Times New Roman" w:eastAsia="Times New Roman" w:hAnsi="Times New Roman" w:cs="Arial"/>
          <w:b/>
          <w:bCs/>
          <w:i/>
          <w:color w:val="2F5496" w:themeColor="accent1" w:themeShade="BF"/>
          <w:sz w:val="20"/>
          <w:szCs w:val="20"/>
          <w:lang w:val="en-US" w:eastAsia="zh-CN"/>
        </w:rPr>
      </w:pPr>
      <w:r w:rsidRPr="0042395E">
        <w:rPr>
          <w:rFonts w:ascii="Times New Roman" w:eastAsia="Times New Roman" w:hAnsi="Times New Roman" w:cs="Arial"/>
          <w:b/>
          <w:bCs/>
          <w:i/>
          <w:color w:val="2F5496" w:themeColor="accent1" w:themeShade="BF"/>
          <w:sz w:val="20"/>
          <w:szCs w:val="20"/>
          <w:lang w:val="en-US" w:eastAsia="zh-CN"/>
        </w:rPr>
        <w:t>Working assumption</w:t>
      </w:r>
    </w:p>
    <w:p w14:paraId="61BC65D2" w14:textId="77777777" w:rsidR="00A32752" w:rsidRPr="0042395E" w:rsidRDefault="00A32752" w:rsidP="00A32752">
      <w:pPr>
        <w:spacing w:after="0" w:line="240" w:lineRule="auto"/>
        <w:rPr>
          <w:rFonts w:ascii="Times" w:eastAsia="Batang" w:hAnsi="Times" w:cs="Arial"/>
          <w:i/>
          <w:color w:val="2F5496" w:themeColor="accent1" w:themeShade="BF"/>
          <w:sz w:val="20"/>
          <w:szCs w:val="24"/>
          <w:lang w:val="en-US"/>
        </w:rPr>
      </w:pPr>
      <w:r w:rsidRPr="0042395E">
        <w:rPr>
          <w:rFonts w:ascii="Times" w:eastAsia="Batang" w:hAnsi="Times" w:cs="Arial"/>
          <w:i/>
          <w:color w:val="2F5496" w:themeColor="accent1" w:themeShade="BF"/>
          <w:sz w:val="20"/>
          <w:szCs w:val="24"/>
          <w:lang w:val="en-US"/>
        </w:rPr>
        <w:t>For unicast, scheduling gaps for multiple transport blocks is supported and a scheduling gap can be configured by [RRC and/or DCI]</w:t>
      </w:r>
    </w:p>
    <w:p w14:paraId="139B229A" w14:textId="77777777" w:rsidR="00A32752" w:rsidRPr="0042395E" w:rsidRDefault="00A32752" w:rsidP="00A32752">
      <w:pPr>
        <w:tabs>
          <w:tab w:val="num" w:pos="720"/>
        </w:tabs>
        <w:spacing w:after="0" w:line="240" w:lineRule="auto"/>
        <w:ind w:left="400" w:hanging="400"/>
        <w:contextualSpacing/>
        <w:rPr>
          <w:rFonts w:ascii="Times New Roman" w:eastAsia="MS Gothic" w:hAnsi="Times New Roman" w:cs="Times New Roman"/>
          <w:i/>
          <w:color w:val="2F5496" w:themeColor="accent1" w:themeShade="BF"/>
          <w:kern w:val="2"/>
          <w:sz w:val="20"/>
          <w:szCs w:val="20"/>
          <w:lang w:val="en-US" w:eastAsia="ja-JP"/>
        </w:rPr>
      </w:pPr>
      <w:r w:rsidRPr="0042395E">
        <w:rPr>
          <w:rFonts w:ascii="Times New Roman" w:eastAsia="MS Gothic" w:hAnsi="Times New Roman" w:cs="Times New Roman"/>
          <w:i/>
          <w:color w:val="2F5496" w:themeColor="accent1" w:themeShade="BF"/>
          <w:kern w:val="2"/>
          <w:sz w:val="20"/>
          <w:szCs w:val="20"/>
          <w:lang w:val="en-US" w:eastAsia="ja-JP"/>
        </w:rPr>
        <w:t>The support of scheduling gaps is UE optional feature regardless of the support of multiple TBs</w:t>
      </w:r>
    </w:p>
    <w:p w14:paraId="418B2458" w14:textId="77777777" w:rsidR="00A32752" w:rsidRPr="0042395E" w:rsidRDefault="00A32752" w:rsidP="00A32752">
      <w:pPr>
        <w:tabs>
          <w:tab w:val="num" w:pos="720"/>
        </w:tabs>
        <w:spacing w:after="0" w:line="240" w:lineRule="auto"/>
        <w:ind w:left="400" w:hanging="400"/>
        <w:contextualSpacing/>
        <w:rPr>
          <w:rFonts w:ascii="Times New Roman" w:eastAsia="MS Gothic" w:hAnsi="Times New Roman" w:cs="Times New Roman"/>
          <w:i/>
          <w:color w:val="2F5496" w:themeColor="accent1" w:themeShade="BF"/>
          <w:kern w:val="2"/>
          <w:sz w:val="20"/>
          <w:szCs w:val="20"/>
          <w:lang w:val="en-US" w:eastAsia="ja-JP"/>
        </w:rPr>
      </w:pPr>
      <w:r w:rsidRPr="0042395E">
        <w:rPr>
          <w:rFonts w:ascii="Times New Roman" w:eastAsia="MS Gothic" w:hAnsi="Times New Roman" w:cs="Times New Roman"/>
          <w:i/>
          <w:color w:val="2F5496" w:themeColor="accent1" w:themeShade="BF"/>
          <w:kern w:val="2"/>
          <w:sz w:val="20"/>
          <w:szCs w:val="20"/>
          <w:lang w:val="en-US" w:eastAsia="ja-JP"/>
        </w:rPr>
        <w:t xml:space="preserve">FFS: Details on the scheduling gap such as duration, applicability, </w:t>
      </w:r>
      <w:proofErr w:type="spellStart"/>
      <w:r w:rsidRPr="0042395E">
        <w:rPr>
          <w:rFonts w:ascii="Times New Roman" w:eastAsia="MS Gothic" w:hAnsi="Times New Roman" w:cs="Times New Roman"/>
          <w:i/>
          <w:color w:val="2F5496" w:themeColor="accent1" w:themeShade="BF"/>
          <w:kern w:val="2"/>
          <w:sz w:val="20"/>
          <w:szCs w:val="20"/>
          <w:lang w:val="en-US" w:eastAsia="ja-JP"/>
        </w:rPr>
        <w:t>etc</w:t>
      </w:r>
      <w:proofErr w:type="spellEnd"/>
    </w:p>
    <w:p w14:paraId="028752FD" w14:textId="77777777" w:rsidR="00A32752" w:rsidRPr="0042395E" w:rsidRDefault="00A32752" w:rsidP="004C27DD">
      <w:pPr>
        <w:rPr>
          <w:rFonts w:ascii="Arial" w:hAnsi="Arial" w:cs="Arial"/>
          <w:lang w:val="en-US"/>
        </w:rPr>
      </w:pPr>
    </w:p>
    <w:p w14:paraId="59A05ACC" w14:textId="31D2A917" w:rsidR="008B5A5B" w:rsidRPr="0042395E" w:rsidRDefault="008B5A5B" w:rsidP="008B5A5B">
      <w:pPr>
        <w:rPr>
          <w:rFonts w:ascii="Arial" w:hAnsi="Arial" w:cs="Arial"/>
          <w:lang w:val="en-US"/>
        </w:rPr>
      </w:pPr>
      <w:r w:rsidRPr="0042395E">
        <w:rPr>
          <w:rFonts w:ascii="Arial" w:hAnsi="Arial" w:cs="Arial"/>
          <w:lang w:val="en-US"/>
        </w:rPr>
        <w:t xml:space="preserve">A summary of earlier RAN1 agreements </w:t>
      </w:r>
      <w:r w:rsidRPr="0042395E">
        <w:rPr>
          <w:rFonts w:ascii="Arial" w:hAnsi="Arial" w:cs="Arial"/>
          <w:lang w:val="en-US"/>
        </w:rPr>
        <w:fldChar w:fldCharType="begin"/>
      </w:r>
      <w:r w:rsidRPr="0042395E">
        <w:rPr>
          <w:rFonts w:ascii="Arial" w:hAnsi="Arial" w:cs="Arial"/>
          <w:lang w:val="en-US"/>
        </w:rPr>
        <w:instrText xml:space="preserve"> REF _Ref7449360 \r \h  \* MERGEFORMAT </w:instrText>
      </w:r>
      <w:r w:rsidRPr="0042395E">
        <w:rPr>
          <w:rFonts w:ascii="Arial" w:hAnsi="Arial" w:cs="Arial"/>
          <w:lang w:val="en-US"/>
        </w:rPr>
      </w:r>
      <w:r w:rsidRPr="0042395E">
        <w:rPr>
          <w:rFonts w:ascii="Arial" w:hAnsi="Arial" w:cs="Arial"/>
          <w:lang w:val="en-US"/>
        </w:rPr>
        <w:fldChar w:fldCharType="separate"/>
      </w:r>
      <w:r w:rsidR="00EB3DEC">
        <w:rPr>
          <w:rFonts w:ascii="Arial" w:hAnsi="Arial" w:cs="Arial"/>
          <w:lang w:val="en-US"/>
        </w:rPr>
        <w:t>[2]</w:t>
      </w:r>
      <w:r w:rsidRPr="0042395E">
        <w:rPr>
          <w:rFonts w:ascii="Arial" w:hAnsi="Arial" w:cs="Arial"/>
          <w:lang w:val="en-US"/>
        </w:rPr>
        <w:fldChar w:fldCharType="end"/>
      </w:r>
      <w:r w:rsidRPr="0042395E">
        <w:rPr>
          <w:rFonts w:ascii="Arial" w:hAnsi="Arial" w:cs="Arial"/>
          <w:lang w:val="en-US"/>
        </w:rPr>
        <w:t xml:space="preserve"> is copied in Appendix B for reference. </w:t>
      </w:r>
    </w:p>
    <w:p w14:paraId="2254BE2D" w14:textId="165CC962" w:rsidR="00C84B11" w:rsidRPr="0042395E" w:rsidRDefault="00A40FE1" w:rsidP="004C27DD">
      <w:pPr>
        <w:rPr>
          <w:rFonts w:ascii="Arial" w:hAnsi="Arial" w:cs="Arial"/>
          <w:lang w:val="en-US"/>
        </w:rPr>
      </w:pPr>
      <w:r w:rsidRPr="0042395E">
        <w:rPr>
          <w:rFonts w:ascii="Arial" w:hAnsi="Arial" w:cs="Arial"/>
          <w:lang w:val="en-US"/>
        </w:rPr>
        <w:t xml:space="preserve">The feature lead summary from </w:t>
      </w:r>
      <w:r w:rsidR="00CD570D" w:rsidRPr="0042395E">
        <w:rPr>
          <w:rFonts w:ascii="Arial" w:hAnsi="Arial" w:cs="Arial"/>
          <w:lang w:val="en-US"/>
        </w:rPr>
        <w:t>RAN1#9</w:t>
      </w:r>
      <w:r w:rsidR="008956DF" w:rsidRPr="0042395E">
        <w:rPr>
          <w:rFonts w:ascii="Arial" w:hAnsi="Arial" w:cs="Arial"/>
          <w:lang w:val="en-US"/>
        </w:rPr>
        <w:t>7</w:t>
      </w:r>
      <w:r w:rsidR="00CD570D" w:rsidRPr="0042395E">
        <w:rPr>
          <w:rFonts w:ascii="Arial" w:hAnsi="Arial" w:cs="Arial"/>
          <w:lang w:val="en-US"/>
        </w:rPr>
        <w:t xml:space="preserve"> is </w:t>
      </w:r>
      <w:r w:rsidR="00572A2C" w:rsidRPr="0042395E">
        <w:rPr>
          <w:rFonts w:ascii="Arial" w:hAnsi="Arial" w:cs="Arial"/>
          <w:lang w:val="en-US"/>
        </w:rPr>
        <w:t xml:space="preserve">available in </w:t>
      </w:r>
      <w:r w:rsidR="00572A2C" w:rsidRPr="0042395E">
        <w:rPr>
          <w:rFonts w:ascii="Arial" w:hAnsi="Arial" w:cs="Arial"/>
          <w:lang w:val="en-US"/>
        </w:rPr>
        <w:fldChar w:fldCharType="begin"/>
      </w:r>
      <w:r w:rsidR="00572A2C" w:rsidRPr="0042395E">
        <w:rPr>
          <w:rFonts w:ascii="Arial" w:hAnsi="Arial" w:cs="Arial"/>
          <w:lang w:val="en-US"/>
        </w:rPr>
        <w:instrText xml:space="preserve"> REF _Ref7508594 \r \h </w:instrText>
      </w:r>
      <w:r w:rsidR="00572A2C" w:rsidRPr="0042395E">
        <w:rPr>
          <w:rFonts w:ascii="Arial" w:hAnsi="Arial" w:cs="Arial"/>
          <w:lang w:val="en-US"/>
        </w:rPr>
      </w:r>
      <w:r w:rsidR="00572A2C" w:rsidRPr="0042395E">
        <w:rPr>
          <w:rFonts w:ascii="Arial" w:hAnsi="Arial" w:cs="Arial"/>
          <w:lang w:val="en-US"/>
        </w:rPr>
        <w:fldChar w:fldCharType="separate"/>
      </w:r>
      <w:r w:rsidR="00EB3DEC">
        <w:rPr>
          <w:rFonts w:ascii="Arial" w:hAnsi="Arial" w:cs="Arial"/>
          <w:lang w:val="en-US"/>
        </w:rPr>
        <w:t>[3]</w:t>
      </w:r>
      <w:r w:rsidR="00572A2C" w:rsidRPr="0042395E">
        <w:rPr>
          <w:rFonts w:ascii="Arial" w:hAnsi="Arial" w:cs="Arial"/>
          <w:lang w:val="en-US"/>
        </w:rPr>
        <w:fldChar w:fldCharType="end"/>
      </w:r>
      <w:r w:rsidR="00572A2C" w:rsidRPr="0042395E">
        <w:rPr>
          <w:rFonts w:ascii="Arial" w:hAnsi="Arial" w:cs="Arial"/>
          <w:lang w:val="en-US"/>
        </w:rPr>
        <w:t>.</w:t>
      </w:r>
    </w:p>
    <w:p w14:paraId="4B9FAEE8" w14:textId="5232FDF6" w:rsidR="004D2527" w:rsidRPr="0042395E" w:rsidRDefault="00230D18" w:rsidP="004C27DD">
      <w:pPr>
        <w:pStyle w:val="Heading1"/>
        <w:rPr>
          <w:lang w:val="en-US"/>
        </w:rPr>
      </w:pPr>
      <w:bookmarkStart w:id="0" w:name="_Ref178064866"/>
      <w:r w:rsidRPr="0042395E">
        <w:rPr>
          <w:lang w:val="en-US"/>
        </w:rPr>
        <w:lastRenderedPageBreak/>
        <w:t>2</w:t>
      </w:r>
      <w:r w:rsidRPr="0042395E">
        <w:rPr>
          <w:lang w:val="en-US"/>
        </w:rPr>
        <w:tab/>
      </w:r>
      <w:bookmarkEnd w:id="0"/>
      <w:r w:rsidR="00D442C6" w:rsidRPr="0042395E">
        <w:rPr>
          <w:lang w:val="en-US"/>
        </w:rPr>
        <w:t>Unicast</w:t>
      </w:r>
    </w:p>
    <w:p w14:paraId="6D030553" w14:textId="62841158" w:rsidR="00B04AAD" w:rsidRPr="0042395E" w:rsidRDefault="000E115F" w:rsidP="007F5E74">
      <w:pPr>
        <w:pStyle w:val="Heading3"/>
        <w:rPr>
          <w:lang w:val="en-US"/>
        </w:rPr>
      </w:pPr>
      <w:r w:rsidRPr="0042395E">
        <w:rPr>
          <w:lang w:val="en-US"/>
        </w:rPr>
        <w:t>2.1</w:t>
      </w:r>
      <w:r w:rsidRPr="0042395E">
        <w:rPr>
          <w:lang w:val="en-US"/>
        </w:rPr>
        <w:tab/>
        <w:t>General</w:t>
      </w:r>
    </w:p>
    <w:p w14:paraId="0D35C479" w14:textId="73C7E841" w:rsidR="007261C1" w:rsidRPr="0042395E" w:rsidRDefault="007261C1" w:rsidP="003F4288">
      <w:pPr>
        <w:rPr>
          <w:rFonts w:ascii="Arial" w:hAnsi="Arial" w:cs="Arial"/>
          <w:lang w:val="en-US"/>
        </w:rPr>
      </w:pPr>
      <w:r w:rsidRPr="0042395E">
        <w:rPr>
          <w:rFonts w:ascii="Arial" w:hAnsi="Arial" w:cs="Arial"/>
          <w:lang w:val="en-US"/>
        </w:rPr>
        <w:t xml:space="preserve">Although the main benefits </w:t>
      </w:r>
      <w:r w:rsidR="0002483C" w:rsidRPr="0042395E">
        <w:rPr>
          <w:rFonts w:ascii="Arial" w:hAnsi="Arial" w:cs="Arial"/>
          <w:lang w:val="en-US"/>
        </w:rPr>
        <w:t xml:space="preserve">of the feature of scheduling multiple TBs with one DCI </w:t>
      </w:r>
      <w:r w:rsidRPr="0042395E">
        <w:rPr>
          <w:rFonts w:ascii="Arial" w:hAnsi="Arial" w:cs="Arial"/>
          <w:lang w:val="en-US"/>
        </w:rPr>
        <w:t xml:space="preserve">are in medium/poor radio </w:t>
      </w:r>
      <w:r w:rsidR="00F660E3" w:rsidRPr="0042395E">
        <w:rPr>
          <w:rFonts w:ascii="Arial" w:hAnsi="Arial" w:cs="Arial"/>
          <w:lang w:val="en-US"/>
        </w:rPr>
        <w:t>conditions</w:t>
      </w:r>
      <w:r w:rsidRPr="0042395E">
        <w:rPr>
          <w:rFonts w:ascii="Arial" w:hAnsi="Arial" w:cs="Arial"/>
          <w:lang w:val="en-US"/>
        </w:rPr>
        <w:t xml:space="preserve">, </w:t>
      </w:r>
      <w:r w:rsidR="002361E3" w:rsidRPr="0042395E">
        <w:rPr>
          <w:rFonts w:ascii="Arial" w:hAnsi="Arial" w:cs="Arial"/>
          <w:lang w:val="en-US"/>
        </w:rPr>
        <w:t xml:space="preserve">it is preferable </w:t>
      </w:r>
      <w:r w:rsidR="00201EFF">
        <w:rPr>
          <w:rFonts w:ascii="Arial" w:hAnsi="Arial" w:cs="Arial"/>
          <w:lang w:val="en-US"/>
        </w:rPr>
        <w:t>that</w:t>
      </w:r>
      <w:r w:rsidR="002361E3" w:rsidRPr="0042395E">
        <w:rPr>
          <w:rFonts w:ascii="Arial" w:hAnsi="Arial" w:cs="Arial"/>
          <w:lang w:val="en-US"/>
        </w:rPr>
        <w:t xml:space="preserve"> the </w:t>
      </w:r>
      <w:r w:rsidRPr="0042395E">
        <w:rPr>
          <w:rFonts w:ascii="Arial" w:hAnsi="Arial" w:cs="Arial"/>
          <w:lang w:val="en-US"/>
        </w:rPr>
        <w:t xml:space="preserve">solution </w:t>
      </w:r>
      <w:r w:rsidR="002361E3" w:rsidRPr="0042395E">
        <w:rPr>
          <w:rFonts w:ascii="Arial" w:hAnsi="Arial" w:cs="Arial"/>
          <w:lang w:val="en-US"/>
        </w:rPr>
        <w:t>also gives the same scheduling flexibility</w:t>
      </w:r>
      <w:r w:rsidR="00DF33A1" w:rsidRPr="0042395E">
        <w:rPr>
          <w:rFonts w:ascii="Arial" w:hAnsi="Arial" w:cs="Arial"/>
          <w:lang w:val="en-US"/>
        </w:rPr>
        <w:t xml:space="preserve"> as legacy</w:t>
      </w:r>
      <w:r w:rsidR="00BF7640">
        <w:rPr>
          <w:rFonts w:ascii="Arial" w:hAnsi="Arial" w:cs="Arial"/>
          <w:lang w:val="en-US"/>
        </w:rPr>
        <w:t xml:space="preserve"> operation</w:t>
      </w:r>
      <w:r w:rsidRPr="0042395E">
        <w:rPr>
          <w:rFonts w:ascii="Arial" w:hAnsi="Arial" w:cs="Arial"/>
          <w:lang w:val="en-US"/>
        </w:rPr>
        <w:t xml:space="preserve"> in good radio </w:t>
      </w:r>
      <w:r w:rsidR="00155C20" w:rsidRPr="0042395E">
        <w:rPr>
          <w:rFonts w:ascii="Arial" w:hAnsi="Arial" w:cs="Arial"/>
          <w:lang w:val="en-US"/>
        </w:rPr>
        <w:t>conditions</w:t>
      </w:r>
      <w:r w:rsidR="002B14CF" w:rsidRPr="0042395E">
        <w:rPr>
          <w:rFonts w:ascii="Arial" w:hAnsi="Arial" w:cs="Arial"/>
          <w:lang w:val="en-US"/>
        </w:rPr>
        <w:t xml:space="preserve">. </w:t>
      </w:r>
      <w:r w:rsidR="00DF33A1" w:rsidRPr="0042395E">
        <w:rPr>
          <w:rFonts w:ascii="Arial" w:hAnsi="Arial" w:cs="Arial"/>
          <w:lang w:val="en-US"/>
        </w:rPr>
        <w:t xml:space="preserve">i.e. </w:t>
      </w:r>
      <w:r w:rsidR="00155C20" w:rsidRPr="0042395E">
        <w:rPr>
          <w:rFonts w:ascii="Arial" w:hAnsi="Arial" w:cs="Arial"/>
          <w:lang w:val="en-US"/>
        </w:rPr>
        <w:t xml:space="preserve">when </w:t>
      </w:r>
      <w:r w:rsidR="00FD4C6A">
        <w:rPr>
          <w:rFonts w:ascii="Arial" w:hAnsi="Arial" w:cs="Arial"/>
          <w:lang w:val="en-US"/>
        </w:rPr>
        <w:t>the</w:t>
      </w:r>
      <w:r w:rsidR="00D50576">
        <w:rPr>
          <w:rFonts w:ascii="Arial" w:hAnsi="Arial" w:cs="Arial"/>
          <w:lang w:val="en-US"/>
        </w:rPr>
        <w:t xml:space="preserve"> required </w:t>
      </w:r>
      <w:r w:rsidR="00FD4C6A">
        <w:rPr>
          <w:rFonts w:ascii="Arial" w:hAnsi="Arial" w:cs="Arial"/>
          <w:lang w:val="en-US"/>
        </w:rPr>
        <w:t>data rate can be achieved with single TB scheduling</w:t>
      </w:r>
      <w:r w:rsidR="00FA6EDE" w:rsidRPr="0042395E">
        <w:rPr>
          <w:rFonts w:ascii="Arial" w:hAnsi="Arial" w:cs="Arial"/>
          <w:lang w:val="en-US"/>
        </w:rPr>
        <w:t>.</w:t>
      </w:r>
      <w:r w:rsidR="00765CD6" w:rsidRPr="0042395E">
        <w:rPr>
          <w:rFonts w:ascii="Arial" w:hAnsi="Arial" w:cs="Arial"/>
          <w:lang w:val="en-US"/>
        </w:rPr>
        <w:t xml:space="preserve"> </w:t>
      </w:r>
      <w:r w:rsidR="00DA61FD" w:rsidRPr="0042395E">
        <w:rPr>
          <w:rFonts w:ascii="Arial" w:hAnsi="Arial" w:cs="Arial"/>
          <w:lang w:val="en-US"/>
        </w:rPr>
        <w:t xml:space="preserve">The alternative would be to rely on </w:t>
      </w:r>
      <w:r w:rsidR="00765CD6" w:rsidRPr="0042395E">
        <w:rPr>
          <w:rFonts w:ascii="Arial" w:hAnsi="Arial" w:cs="Arial"/>
          <w:lang w:val="en-US"/>
        </w:rPr>
        <w:t xml:space="preserve">RRC </w:t>
      </w:r>
      <w:r w:rsidR="00DA61FD" w:rsidRPr="0042395E">
        <w:rPr>
          <w:rFonts w:ascii="Arial" w:hAnsi="Arial" w:cs="Arial"/>
          <w:lang w:val="en-US"/>
        </w:rPr>
        <w:t>re</w:t>
      </w:r>
      <w:r w:rsidR="00765CD6" w:rsidRPr="0042395E">
        <w:rPr>
          <w:rFonts w:ascii="Arial" w:hAnsi="Arial" w:cs="Arial"/>
          <w:lang w:val="en-US"/>
        </w:rPr>
        <w:t>configuration</w:t>
      </w:r>
      <w:r w:rsidR="002B0449">
        <w:rPr>
          <w:rFonts w:ascii="Arial" w:hAnsi="Arial" w:cs="Arial"/>
          <w:lang w:val="en-US"/>
        </w:rPr>
        <w:t>s</w:t>
      </w:r>
      <w:r w:rsidR="00DA61FD" w:rsidRPr="0042395E">
        <w:rPr>
          <w:rFonts w:ascii="Arial" w:hAnsi="Arial" w:cs="Arial"/>
          <w:lang w:val="en-US"/>
        </w:rPr>
        <w:t xml:space="preserve"> as the radio conditions changes, </w:t>
      </w:r>
      <w:r w:rsidR="00B04901" w:rsidRPr="0042395E">
        <w:rPr>
          <w:rFonts w:ascii="Arial" w:hAnsi="Arial" w:cs="Arial"/>
          <w:lang w:val="en-US"/>
        </w:rPr>
        <w:t xml:space="preserve">which will affect the user plane traffic in a negative manner for </w:t>
      </w:r>
      <w:r w:rsidR="00272698" w:rsidRPr="0042395E">
        <w:rPr>
          <w:rFonts w:ascii="Arial" w:hAnsi="Arial" w:cs="Arial"/>
          <w:lang w:val="en-US"/>
        </w:rPr>
        <w:t xml:space="preserve">certain traffic, </w:t>
      </w:r>
      <w:r w:rsidR="00B04901" w:rsidRPr="0042395E">
        <w:rPr>
          <w:rFonts w:ascii="Arial" w:hAnsi="Arial" w:cs="Arial"/>
          <w:lang w:val="en-US"/>
        </w:rPr>
        <w:t>e.g. voice traffic (VoLTE)</w:t>
      </w:r>
      <w:r w:rsidR="00B03111" w:rsidRPr="0042395E">
        <w:rPr>
          <w:rFonts w:ascii="Arial" w:hAnsi="Arial" w:cs="Arial"/>
          <w:lang w:val="en-US"/>
        </w:rPr>
        <w:t xml:space="preserve">. </w:t>
      </w:r>
    </w:p>
    <w:p w14:paraId="36AD4A14" w14:textId="32EB68FB" w:rsidR="0030676C" w:rsidRPr="0042395E" w:rsidRDefault="002810BE" w:rsidP="003F4288">
      <w:pPr>
        <w:pStyle w:val="Observation"/>
        <w:jc w:val="left"/>
        <w:rPr>
          <w:lang w:val="en-US"/>
        </w:rPr>
      </w:pPr>
      <w:bookmarkStart w:id="1" w:name="_Toc16872193"/>
      <w:r w:rsidRPr="0042395E">
        <w:rPr>
          <w:rFonts w:cs="Arial"/>
          <w:lang w:val="en-US"/>
        </w:rPr>
        <w:t xml:space="preserve">It is beneficial if the </w:t>
      </w:r>
      <w:r w:rsidRPr="0042395E">
        <w:rPr>
          <w:rFonts w:cs="Arial"/>
          <w:lang w:val="en-US" w:eastAsia="en-US"/>
        </w:rPr>
        <w:t xml:space="preserve">solution for scheduling of multiple TBs </w:t>
      </w:r>
      <w:r w:rsidRPr="0042395E">
        <w:rPr>
          <w:rFonts w:cs="Arial"/>
          <w:lang w:val="en-US"/>
        </w:rPr>
        <w:t>gives the same scheduling flexibility as legacy</w:t>
      </w:r>
      <w:r w:rsidR="00674579">
        <w:rPr>
          <w:rFonts w:cs="Arial"/>
          <w:lang w:val="en-US"/>
        </w:rPr>
        <w:t xml:space="preserve"> operation</w:t>
      </w:r>
      <w:r w:rsidRPr="0042395E">
        <w:rPr>
          <w:rFonts w:cs="Arial"/>
          <w:lang w:val="en-US" w:eastAsia="en-US"/>
        </w:rPr>
        <w:t xml:space="preserve"> in good radio </w:t>
      </w:r>
      <w:r w:rsidRPr="0042395E">
        <w:rPr>
          <w:rFonts w:cs="Arial"/>
          <w:lang w:val="en-US"/>
        </w:rPr>
        <w:t>conditions</w:t>
      </w:r>
      <w:r w:rsidR="00AC0B84" w:rsidRPr="0042395E">
        <w:rPr>
          <w:rFonts w:cs="Arial"/>
          <w:lang w:val="en-US"/>
        </w:rPr>
        <w:t xml:space="preserve">, </w:t>
      </w:r>
      <w:r w:rsidRPr="0042395E">
        <w:rPr>
          <w:rFonts w:cs="Arial"/>
          <w:lang w:val="en-US"/>
        </w:rPr>
        <w:t xml:space="preserve">i.e. </w:t>
      </w:r>
      <w:r w:rsidR="00AC0B84" w:rsidRPr="0042395E">
        <w:rPr>
          <w:rFonts w:cs="Arial"/>
          <w:lang w:val="en-US"/>
        </w:rPr>
        <w:t xml:space="preserve">when </w:t>
      </w:r>
      <w:r w:rsidR="00013DBE">
        <w:rPr>
          <w:rFonts w:cs="Arial"/>
          <w:lang w:val="en-US"/>
        </w:rPr>
        <w:t>only single TB scheduling</w:t>
      </w:r>
      <w:r w:rsidR="00AC0B84" w:rsidRPr="0042395E">
        <w:rPr>
          <w:rFonts w:cs="Arial"/>
          <w:lang w:val="en-US"/>
        </w:rPr>
        <w:t xml:space="preserve"> are needed to support the traffic conditions</w:t>
      </w:r>
      <w:r w:rsidR="00B9084B" w:rsidRPr="0042395E">
        <w:rPr>
          <w:rFonts w:cs="Arial"/>
          <w:lang w:val="en-US"/>
        </w:rPr>
        <w:t>.</w:t>
      </w:r>
      <w:bookmarkEnd w:id="1"/>
    </w:p>
    <w:p w14:paraId="74E3DAD1" w14:textId="7F62DD61" w:rsidR="004B1C55" w:rsidRPr="0042395E" w:rsidRDefault="0008471C" w:rsidP="003F4288">
      <w:pPr>
        <w:rPr>
          <w:rFonts w:ascii="Arial" w:hAnsi="Arial" w:cs="Arial"/>
          <w:lang w:val="en-US"/>
        </w:rPr>
      </w:pPr>
      <w:r w:rsidRPr="0042395E">
        <w:rPr>
          <w:rFonts w:ascii="Arial" w:hAnsi="Arial" w:cs="Arial"/>
          <w:lang w:val="en-US"/>
        </w:rPr>
        <w:t xml:space="preserve">It has been proposed to jointly code several parameters to limit the increased size of the DCI. When deciding on </w:t>
      </w:r>
      <w:r w:rsidR="003537A7" w:rsidRPr="0042395E">
        <w:rPr>
          <w:rFonts w:ascii="Arial" w:hAnsi="Arial" w:cs="Arial"/>
          <w:lang w:val="en-US"/>
        </w:rPr>
        <w:t>potential joint encoding of DCI fields,</w:t>
      </w:r>
      <w:r w:rsidR="00C44DC2" w:rsidRPr="0042395E">
        <w:rPr>
          <w:rFonts w:ascii="Arial" w:hAnsi="Arial" w:cs="Arial"/>
          <w:lang w:val="en-US"/>
        </w:rPr>
        <w:t xml:space="preserve"> it is prop</w:t>
      </w:r>
      <w:r w:rsidR="00F26171" w:rsidRPr="0042395E">
        <w:rPr>
          <w:rFonts w:ascii="Arial" w:hAnsi="Arial" w:cs="Arial"/>
          <w:lang w:val="en-US"/>
        </w:rPr>
        <w:t>o</w:t>
      </w:r>
      <w:r w:rsidR="00C44DC2" w:rsidRPr="0042395E">
        <w:rPr>
          <w:rFonts w:ascii="Arial" w:hAnsi="Arial" w:cs="Arial"/>
          <w:lang w:val="en-US"/>
        </w:rPr>
        <w:t>sed that</w:t>
      </w:r>
      <w:r w:rsidR="002813A3">
        <w:rPr>
          <w:rFonts w:ascii="Arial" w:hAnsi="Arial" w:cs="Arial"/>
          <w:lang w:val="en-US"/>
        </w:rPr>
        <w:t xml:space="preserve"> at least for the situation </w:t>
      </w:r>
      <w:r w:rsidR="002813A3" w:rsidRPr="0042395E">
        <w:rPr>
          <w:rFonts w:ascii="Arial" w:hAnsi="Arial" w:cs="Arial"/>
          <w:lang w:val="en-US"/>
        </w:rPr>
        <w:t>when the feature is enabled but only a single TB is scheduled</w:t>
      </w:r>
      <w:r w:rsidR="002813A3">
        <w:rPr>
          <w:rFonts w:ascii="Arial" w:hAnsi="Arial" w:cs="Arial"/>
          <w:lang w:val="en-US"/>
        </w:rPr>
        <w:t xml:space="preserve">, </w:t>
      </w:r>
      <w:r w:rsidR="00C44DC2" w:rsidRPr="0042395E">
        <w:rPr>
          <w:rFonts w:ascii="Arial" w:hAnsi="Arial" w:cs="Arial"/>
          <w:lang w:val="en-US"/>
        </w:rPr>
        <w:t>this should not limit the scheduling flexibility</w:t>
      </w:r>
      <w:r w:rsidR="004B1C55" w:rsidRPr="0042395E">
        <w:rPr>
          <w:rFonts w:ascii="Arial" w:hAnsi="Arial" w:cs="Arial"/>
          <w:lang w:val="en-US"/>
        </w:rPr>
        <w:t>.</w:t>
      </w:r>
    </w:p>
    <w:p w14:paraId="41974151" w14:textId="5CCB2BDF" w:rsidR="0008471C" w:rsidRPr="0042395E" w:rsidRDefault="001656A0" w:rsidP="00806395">
      <w:pPr>
        <w:pStyle w:val="Proposal"/>
        <w:rPr>
          <w:lang w:val="en-US"/>
        </w:rPr>
      </w:pPr>
      <w:bookmarkStart w:id="2" w:name="_Toc16872199"/>
      <w:r w:rsidRPr="0042395E">
        <w:rPr>
          <w:lang w:val="en-US"/>
        </w:rPr>
        <w:t xml:space="preserve">Joint encoding of DCI fields </w:t>
      </w:r>
      <w:r w:rsidRPr="00A66B89">
        <w:rPr>
          <w:lang w:val="en-US"/>
        </w:rPr>
        <w:t>should</w:t>
      </w:r>
      <w:r w:rsidRPr="0042395E">
        <w:rPr>
          <w:lang w:val="en-US"/>
        </w:rPr>
        <w:t xml:space="preserve"> not limit the scheduling flexibility when the feature is enabled but only </w:t>
      </w:r>
      <w:r w:rsidR="00B324A5" w:rsidRPr="0042395E">
        <w:rPr>
          <w:lang w:val="en-US"/>
        </w:rPr>
        <w:t xml:space="preserve">a </w:t>
      </w:r>
      <w:r w:rsidRPr="0042395E">
        <w:rPr>
          <w:lang w:val="en-US"/>
        </w:rPr>
        <w:t>single TB is scheduled.</w:t>
      </w:r>
      <w:bookmarkEnd w:id="2"/>
    </w:p>
    <w:p w14:paraId="6E837801" w14:textId="3F1EBA64" w:rsidR="00756A2B" w:rsidRPr="0042395E" w:rsidRDefault="00756A2B" w:rsidP="00756A2B">
      <w:pPr>
        <w:pStyle w:val="Heading3"/>
        <w:rPr>
          <w:lang w:val="en-US"/>
        </w:rPr>
      </w:pPr>
      <w:r w:rsidRPr="0042395E">
        <w:rPr>
          <w:lang w:val="en-US"/>
        </w:rPr>
        <w:t xml:space="preserve">2.2 </w:t>
      </w:r>
      <w:r w:rsidRPr="0042395E">
        <w:rPr>
          <w:lang w:val="en-US"/>
        </w:rPr>
        <w:tab/>
      </w:r>
      <w:r w:rsidR="005B72B3" w:rsidRPr="0042395E">
        <w:rPr>
          <w:lang w:val="en-US"/>
        </w:rPr>
        <w:t>Impact of the maximum number of TBs</w:t>
      </w:r>
    </w:p>
    <w:p w14:paraId="583ECFD1" w14:textId="6842E85E" w:rsidR="00481655" w:rsidRDefault="003B55DD" w:rsidP="005926E9">
      <w:pPr>
        <w:rPr>
          <w:rFonts w:ascii="Arial" w:hAnsi="Arial" w:cs="Arial"/>
          <w:lang w:val="en-US"/>
        </w:rPr>
      </w:pPr>
      <w:r w:rsidRPr="0042395E">
        <w:rPr>
          <w:rFonts w:ascii="Arial" w:hAnsi="Arial" w:cs="Arial"/>
          <w:lang w:val="en-US"/>
        </w:rPr>
        <w:t xml:space="preserve">An </w:t>
      </w:r>
      <w:r w:rsidRPr="00F756DF">
        <w:rPr>
          <w:rFonts w:ascii="Arial" w:hAnsi="Arial" w:cs="Arial"/>
          <w:lang w:val="en-US"/>
        </w:rPr>
        <w:t xml:space="preserve">example of scheduling of 4 TBs for PUSCH with 4 repetitions on PUSCH and MPDCCH is depicted in </w:t>
      </w:r>
      <w:r w:rsidR="00F756DF" w:rsidRPr="00F756DF">
        <w:rPr>
          <w:rFonts w:ascii="Arial" w:hAnsi="Arial" w:cs="Arial"/>
          <w:lang w:val="en-US"/>
        </w:rPr>
        <w:fldChar w:fldCharType="begin"/>
      </w:r>
      <w:r w:rsidR="00F756DF" w:rsidRPr="00F756DF">
        <w:rPr>
          <w:rFonts w:ascii="Arial" w:hAnsi="Arial" w:cs="Arial"/>
          <w:lang w:val="en-US"/>
        </w:rPr>
        <w:instrText xml:space="preserve"> REF _Ref16756178 \h </w:instrText>
      </w:r>
      <w:r w:rsidR="00F756DF">
        <w:rPr>
          <w:rFonts w:ascii="Arial" w:hAnsi="Arial" w:cs="Arial"/>
          <w:lang w:val="en-US"/>
        </w:rPr>
        <w:instrText xml:space="preserve"> \* MERGEFORMAT </w:instrText>
      </w:r>
      <w:r w:rsidR="00F756DF" w:rsidRPr="00F756DF">
        <w:rPr>
          <w:rFonts w:ascii="Arial" w:hAnsi="Arial" w:cs="Arial"/>
          <w:lang w:val="en-US"/>
        </w:rPr>
      </w:r>
      <w:r w:rsidR="00F756DF" w:rsidRPr="00F756DF">
        <w:rPr>
          <w:rFonts w:ascii="Arial" w:hAnsi="Arial" w:cs="Arial"/>
          <w:lang w:val="en-US"/>
        </w:rPr>
        <w:fldChar w:fldCharType="separate"/>
      </w:r>
      <w:r w:rsidR="00EB3DEC" w:rsidRPr="00EB3DEC">
        <w:rPr>
          <w:rFonts w:ascii="Arial" w:hAnsi="Arial" w:cs="Arial"/>
          <w:lang w:val="en-US"/>
        </w:rPr>
        <w:t xml:space="preserve">Figure </w:t>
      </w:r>
      <w:r w:rsidR="00EB3DEC" w:rsidRPr="00EB3DEC">
        <w:rPr>
          <w:rFonts w:ascii="Arial" w:hAnsi="Arial" w:cs="Arial"/>
          <w:noProof/>
          <w:lang w:val="en-US"/>
        </w:rPr>
        <w:t>1</w:t>
      </w:r>
      <w:r w:rsidR="00F756DF" w:rsidRPr="00F756DF">
        <w:rPr>
          <w:rFonts w:ascii="Arial" w:hAnsi="Arial" w:cs="Arial"/>
          <w:lang w:val="en-US"/>
        </w:rPr>
        <w:fldChar w:fldCharType="end"/>
      </w:r>
      <w:r w:rsidR="0023066A">
        <w:rPr>
          <w:rFonts w:ascii="Arial" w:hAnsi="Arial" w:cs="Arial"/>
          <w:lang w:val="en-US"/>
        </w:rPr>
        <w:t>.</w:t>
      </w:r>
    </w:p>
    <w:p w14:paraId="5CF93B00" w14:textId="77777777" w:rsidR="000E154A" w:rsidRDefault="000E154A" w:rsidP="000E154A">
      <w:pPr>
        <w:keepNext/>
      </w:pPr>
      <w:r w:rsidRPr="000E154A">
        <w:rPr>
          <w:noProof/>
        </w:rPr>
        <w:drawing>
          <wp:inline distT="0" distB="0" distL="0" distR="0" wp14:anchorId="372AC125" wp14:editId="2CD71903">
            <wp:extent cx="6120765" cy="815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815340"/>
                    </a:xfrm>
                    <a:prstGeom prst="rect">
                      <a:avLst/>
                    </a:prstGeom>
                    <a:noFill/>
                    <a:ln>
                      <a:noFill/>
                    </a:ln>
                  </pic:spPr>
                </pic:pic>
              </a:graphicData>
            </a:graphic>
          </wp:inline>
        </w:drawing>
      </w:r>
    </w:p>
    <w:p w14:paraId="062BD348" w14:textId="47D2BA13" w:rsidR="003B55DD" w:rsidRPr="00F756DF" w:rsidRDefault="000E154A" w:rsidP="003B55DD">
      <w:pPr>
        <w:pStyle w:val="Caption"/>
        <w:rPr>
          <w:rFonts w:ascii="Arial" w:hAnsi="Arial" w:cs="Arial"/>
          <w:lang w:val="en-US"/>
        </w:rPr>
      </w:pPr>
      <w:bookmarkStart w:id="3" w:name="_Ref16756178"/>
      <w:r w:rsidRPr="00F756DF">
        <w:rPr>
          <w:lang w:val="en-US"/>
        </w:rPr>
        <w:t xml:space="preserve">Figure </w:t>
      </w:r>
      <w:r>
        <w:fldChar w:fldCharType="begin"/>
      </w:r>
      <w:r w:rsidRPr="00F756DF">
        <w:rPr>
          <w:lang w:val="en-US"/>
        </w:rPr>
        <w:instrText xml:space="preserve"> SEQ Figure \* ARABIC </w:instrText>
      </w:r>
      <w:r>
        <w:fldChar w:fldCharType="separate"/>
      </w:r>
      <w:r w:rsidR="00EB3DEC">
        <w:rPr>
          <w:noProof/>
          <w:lang w:val="en-US"/>
        </w:rPr>
        <w:t>1</w:t>
      </w:r>
      <w:r>
        <w:fldChar w:fldCharType="end"/>
      </w:r>
      <w:bookmarkEnd w:id="3"/>
      <w:r w:rsidRPr="0042395E">
        <w:rPr>
          <w:lang w:val="en-US"/>
        </w:rPr>
        <w:t>: Scheduling example of PUSCH with 4 repetitions on MPDCCH, 4 repetitions on PUSCH, and 4 TBs scheduled with one DCI</w:t>
      </w:r>
      <w:r w:rsidR="008E3464">
        <w:rPr>
          <w:lang w:val="en-US"/>
        </w:rPr>
        <w:t>.</w:t>
      </w:r>
    </w:p>
    <w:p w14:paraId="018F1B14" w14:textId="4741971B" w:rsidR="00145107" w:rsidRPr="0042395E" w:rsidRDefault="003B55DD" w:rsidP="00145107">
      <w:pPr>
        <w:rPr>
          <w:rFonts w:ascii="Arial" w:hAnsi="Arial" w:cs="Arial"/>
          <w:lang w:val="en-US" w:eastAsia="en-GB"/>
        </w:rPr>
      </w:pPr>
      <w:r w:rsidRPr="0042395E">
        <w:rPr>
          <w:rFonts w:ascii="Arial" w:hAnsi="Arial" w:cs="Arial"/>
          <w:lang w:val="en-US" w:eastAsia="en-GB"/>
        </w:rPr>
        <w:t xml:space="preserve">A summary of the transmission length for different </w:t>
      </w:r>
      <w:r w:rsidRPr="00554A7A">
        <w:rPr>
          <w:rFonts w:ascii="Arial" w:hAnsi="Arial" w:cs="Arial"/>
          <w:lang w:val="en-US" w:eastAsia="en-GB"/>
        </w:rPr>
        <w:t>values of MPDCCH repetitions, number of multiple TBs, and number of PUSCH repetitions is presented in</w:t>
      </w:r>
      <w:r w:rsidR="006D39B4" w:rsidRPr="00554A7A">
        <w:rPr>
          <w:rFonts w:ascii="Arial" w:hAnsi="Arial" w:cs="Arial"/>
          <w:lang w:val="en-US" w:eastAsia="en-GB"/>
        </w:rPr>
        <w:t xml:space="preserve"> </w:t>
      </w:r>
      <w:r w:rsidR="006D39B4" w:rsidRPr="00554A7A">
        <w:rPr>
          <w:rFonts w:ascii="Arial" w:hAnsi="Arial" w:cs="Arial"/>
          <w:lang w:val="en-US" w:eastAsia="en-GB"/>
        </w:rPr>
        <w:fldChar w:fldCharType="begin"/>
      </w:r>
      <w:r w:rsidR="006D39B4" w:rsidRPr="00554A7A">
        <w:rPr>
          <w:rFonts w:ascii="Arial" w:hAnsi="Arial" w:cs="Arial"/>
          <w:lang w:val="en-US" w:eastAsia="en-GB"/>
        </w:rPr>
        <w:instrText xml:space="preserve"> REF _Ref16756799 \h </w:instrText>
      </w:r>
      <w:r w:rsidR="00554A7A">
        <w:rPr>
          <w:rFonts w:ascii="Arial" w:hAnsi="Arial" w:cs="Arial"/>
          <w:lang w:val="en-US" w:eastAsia="en-GB"/>
        </w:rPr>
        <w:instrText xml:space="preserve"> \* MERGEFORMAT </w:instrText>
      </w:r>
      <w:r w:rsidR="006D39B4" w:rsidRPr="00554A7A">
        <w:rPr>
          <w:rFonts w:ascii="Arial" w:hAnsi="Arial" w:cs="Arial"/>
          <w:lang w:val="en-US" w:eastAsia="en-GB"/>
        </w:rPr>
      </w:r>
      <w:r w:rsidR="006D39B4" w:rsidRPr="00554A7A">
        <w:rPr>
          <w:rFonts w:ascii="Arial" w:hAnsi="Arial" w:cs="Arial"/>
          <w:lang w:val="en-US" w:eastAsia="en-GB"/>
        </w:rPr>
        <w:fldChar w:fldCharType="separate"/>
      </w:r>
      <w:r w:rsidR="00EB3DEC" w:rsidRPr="00EB3DEC">
        <w:rPr>
          <w:rFonts w:ascii="Arial" w:hAnsi="Arial" w:cs="Arial"/>
          <w:lang w:val="en-US"/>
        </w:rPr>
        <w:t xml:space="preserve">Figure </w:t>
      </w:r>
      <w:r w:rsidR="00EB3DEC" w:rsidRPr="00EB3DEC">
        <w:rPr>
          <w:rFonts w:ascii="Arial" w:hAnsi="Arial" w:cs="Arial"/>
          <w:noProof/>
          <w:lang w:val="en-US"/>
        </w:rPr>
        <w:t>2</w:t>
      </w:r>
      <w:r w:rsidR="006D39B4" w:rsidRPr="00554A7A">
        <w:rPr>
          <w:rFonts w:ascii="Arial" w:hAnsi="Arial" w:cs="Arial"/>
          <w:lang w:val="en-US" w:eastAsia="en-GB"/>
        </w:rPr>
        <w:fldChar w:fldCharType="end"/>
      </w:r>
    </w:p>
    <w:p w14:paraId="0B8E5701" w14:textId="77777777" w:rsidR="006D39B4" w:rsidRDefault="003B55DD" w:rsidP="003B55DD">
      <w:pPr>
        <w:rPr>
          <w:rFonts w:ascii="Arial" w:hAnsi="Arial" w:cs="Arial"/>
          <w:lang w:val="en-US" w:eastAsia="en-GB"/>
        </w:rPr>
      </w:pPr>
      <w:r w:rsidRPr="0042395E">
        <w:rPr>
          <w:rFonts w:ascii="Arial" w:hAnsi="Arial" w:cs="Arial"/>
          <w:lang w:val="en-US" w:eastAsia="en-GB"/>
        </w:rPr>
        <w:t xml:space="preserve">. </w:t>
      </w:r>
    </w:p>
    <w:tbl>
      <w:tblPr>
        <w:tblW w:w="10240" w:type="dxa"/>
        <w:tblCellMar>
          <w:left w:w="70" w:type="dxa"/>
          <w:right w:w="70" w:type="dxa"/>
        </w:tblCellMar>
        <w:tblLook w:val="04A0" w:firstRow="1" w:lastRow="0" w:firstColumn="1" w:lastColumn="0" w:noHBand="0" w:noVBand="1"/>
      </w:tblPr>
      <w:tblGrid>
        <w:gridCol w:w="960"/>
        <w:gridCol w:w="580"/>
        <w:gridCol w:w="580"/>
        <w:gridCol w:w="580"/>
        <w:gridCol w:w="580"/>
        <w:gridCol w:w="580"/>
        <w:gridCol w:w="580"/>
        <w:gridCol w:w="580"/>
        <w:gridCol w:w="580"/>
        <w:gridCol w:w="523"/>
        <w:gridCol w:w="523"/>
        <w:gridCol w:w="523"/>
        <w:gridCol w:w="751"/>
        <w:gridCol w:w="476"/>
        <w:gridCol w:w="476"/>
        <w:gridCol w:w="684"/>
        <w:gridCol w:w="684"/>
      </w:tblGrid>
      <w:tr w:rsidR="006D39B4" w:rsidRPr="006D39B4" w14:paraId="24F1E373" w14:textId="77777777" w:rsidTr="006D39B4">
        <w:trPr>
          <w:trHeight w:val="300"/>
        </w:trPr>
        <w:tc>
          <w:tcPr>
            <w:tcW w:w="960" w:type="dxa"/>
            <w:tcBorders>
              <w:top w:val="single" w:sz="4" w:space="0" w:color="auto"/>
              <w:left w:val="single" w:sz="4" w:space="0" w:color="auto"/>
              <w:bottom w:val="nil"/>
              <w:right w:val="nil"/>
            </w:tcBorders>
            <w:shd w:val="clear" w:color="000000" w:fill="595959"/>
            <w:noWrap/>
            <w:vAlign w:val="bottom"/>
            <w:hideMark/>
          </w:tcPr>
          <w:p w14:paraId="486B5FD0" w14:textId="77777777" w:rsidR="006D39B4" w:rsidRPr="006D39B4" w:rsidRDefault="006D39B4" w:rsidP="006D39B4">
            <w:pPr>
              <w:spacing w:after="0" w:line="240" w:lineRule="auto"/>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 </w:t>
            </w:r>
          </w:p>
        </w:tc>
        <w:tc>
          <w:tcPr>
            <w:tcW w:w="2320" w:type="dxa"/>
            <w:gridSpan w:val="4"/>
            <w:tcBorders>
              <w:top w:val="single" w:sz="4" w:space="0" w:color="auto"/>
              <w:left w:val="single" w:sz="4" w:space="0" w:color="auto"/>
              <w:bottom w:val="nil"/>
              <w:right w:val="single" w:sz="4" w:space="0" w:color="000000"/>
            </w:tcBorders>
            <w:shd w:val="clear" w:color="000000" w:fill="595959"/>
            <w:noWrap/>
            <w:vAlign w:val="bottom"/>
            <w:hideMark/>
          </w:tcPr>
          <w:p w14:paraId="5A4792E4"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4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06DB16FD"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8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1E0D9971"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16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0AC43A01"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32 PUSCH rep.</w:t>
            </w:r>
          </w:p>
        </w:tc>
      </w:tr>
      <w:tr w:rsidR="006D39B4" w:rsidRPr="006D39B4" w14:paraId="5BFCFF25" w14:textId="77777777" w:rsidTr="006D39B4">
        <w:trPr>
          <w:trHeight w:val="300"/>
        </w:trPr>
        <w:tc>
          <w:tcPr>
            <w:tcW w:w="960" w:type="dxa"/>
            <w:tcBorders>
              <w:top w:val="nil"/>
              <w:left w:val="single" w:sz="4" w:space="0" w:color="auto"/>
              <w:bottom w:val="nil"/>
              <w:right w:val="nil"/>
            </w:tcBorders>
            <w:shd w:val="clear" w:color="000000" w:fill="595959"/>
            <w:noWrap/>
            <w:vAlign w:val="bottom"/>
            <w:hideMark/>
          </w:tcPr>
          <w:p w14:paraId="6EAF7742" w14:textId="77777777" w:rsidR="006D39B4" w:rsidRPr="006D39B4" w:rsidRDefault="006D39B4" w:rsidP="006D39B4">
            <w:pPr>
              <w:spacing w:after="0" w:line="240" w:lineRule="auto"/>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 </w:t>
            </w:r>
          </w:p>
        </w:tc>
        <w:tc>
          <w:tcPr>
            <w:tcW w:w="2320" w:type="dxa"/>
            <w:gridSpan w:val="4"/>
            <w:tcBorders>
              <w:top w:val="nil"/>
              <w:left w:val="single" w:sz="4" w:space="0" w:color="auto"/>
              <w:bottom w:val="nil"/>
              <w:right w:val="single" w:sz="4" w:space="0" w:color="000000"/>
            </w:tcBorders>
            <w:shd w:val="clear" w:color="000000" w:fill="808080"/>
            <w:noWrap/>
            <w:vAlign w:val="bottom"/>
            <w:hideMark/>
          </w:tcPr>
          <w:p w14:paraId="5C7F1FED"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13F8B82B"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47BE00C5"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5F30536A" w14:textId="77777777" w:rsidR="006D39B4" w:rsidRPr="006D39B4" w:rsidRDefault="006D39B4" w:rsidP="006D39B4">
            <w:pPr>
              <w:spacing w:after="0" w:line="240" w:lineRule="auto"/>
              <w:jc w:val="center"/>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Nrof TBs</w:t>
            </w:r>
          </w:p>
        </w:tc>
      </w:tr>
      <w:tr w:rsidR="006D39B4" w:rsidRPr="006D39B4" w14:paraId="7DEEA07C" w14:textId="77777777" w:rsidTr="006D39B4">
        <w:trPr>
          <w:trHeight w:val="300"/>
        </w:trPr>
        <w:tc>
          <w:tcPr>
            <w:tcW w:w="960" w:type="dxa"/>
            <w:tcBorders>
              <w:top w:val="nil"/>
              <w:left w:val="single" w:sz="4" w:space="0" w:color="auto"/>
              <w:bottom w:val="nil"/>
              <w:right w:val="nil"/>
            </w:tcBorders>
            <w:shd w:val="clear" w:color="000000" w:fill="595959"/>
            <w:noWrap/>
            <w:vAlign w:val="bottom"/>
            <w:hideMark/>
          </w:tcPr>
          <w:p w14:paraId="13D50F07" w14:textId="77777777" w:rsidR="006D39B4" w:rsidRPr="006D39B4" w:rsidRDefault="006D39B4" w:rsidP="006D39B4">
            <w:pPr>
              <w:spacing w:after="0" w:line="240" w:lineRule="auto"/>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MPDCCH</w:t>
            </w:r>
          </w:p>
        </w:tc>
        <w:tc>
          <w:tcPr>
            <w:tcW w:w="580" w:type="dxa"/>
            <w:tcBorders>
              <w:top w:val="single" w:sz="4" w:space="0" w:color="auto"/>
              <w:left w:val="single" w:sz="4" w:space="0" w:color="auto"/>
              <w:bottom w:val="single" w:sz="4" w:space="0" w:color="auto"/>
              <w:right w:val="nil"/>
            </w:tcBorders>
            <w:shd w:val="clear" w:color="000000" w:fill="808080"/>
            <w:noWrap/>
            <w:vAlign w:val="bottom"/>
            <w:hideMark/>
          </w:tcPr>
          <w:p w14:paraId="6FAE3830"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1</w:t>
            </w:r>
          </w:p>
        </w:tc>
        <w:tc>
          <w:tcPr>
            <w:tcW w:w="580" w:type="dxa"/>
            <w:tcBorders>
              <w:top w:val="single" w:sz="4" w:space="0" w:color="auto"/>
              <w:left w:val="nil"/>
              <w:bottom w:val="single" w:sz="4" w:space="0" w:color="auto"/>
              <w:right w:val="nil"/>
            </w:tcBorders>
            <w:shd w:val="clear" w:color="000000" w:fill="808080"/>
            <w:noWrap/>
            <w:vAlign w:val="bottom"/>
            <w:hideMark/>
          </w:tcPr>
          <w:p w14:paraId="09AE6F92"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2</w:t>
            </w:r>
          </w:p>
        </w:tc>
        <w:tc>
          <w:tcPr>
            <w:tcW w:w="580" w:type="dxa"/>
            <w:tcBorders>
              <w:top w:val="single" w:sz="4" w:space="0" w:color="auto"/>
              <w:left w:val="nil"/>
              <w:bottom w:val="single" w:sz="4" w:space="0" w:color="auto"/>
              <w:right w:val="nil"/>
            </w:tcBorders>
            <w:shd w:val="clear" w:color="000000" w:fill="808080"/>
            <w:noWrap/>
            <w:vAlign w:val="bottom"/>
            <w:hideMark/>
          </w:tcPr>
          <w:p w14:paraId="03FAD756"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4</w:t>
            </w:r>
          </w:p>
        </w:tc>
        <w:tc>
          <w:tcPr>
            <w:tcW w:w="580" w:type="dxa"/>
            <w:tcBorders>
              <w:top w:val="single" w:sz="4" w:space="0" w:color="auto"/>
              <w:left w:val="nil"/>
              <w:bottom w:val="single" w:sz="4" w:space="0" w:color="auto"/>
              <w:right w:val="single" w:sz="4" w:space="0" w:color="auto"/>
            </w:tcBorders>
            <w:shd w:val="clear" w:color="000000" w:fill="808080"/>
            <w:noWrap/>
            <w:vAlign w:val="bottom"/>
            <w:hideMark/>
          </w:tcPr>
          <w:p w14:paraId="4923A08F"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8</w:t>
            </w:r>
          </w:p>
        </w:tc>
        <w:tc>
          <w:tcPr>
            <w:tcW w:w="580" w:type="dxa"/>
            <w:tcBorders>
              <w:top w:val="nil"/>
              <w:left w:val="nil"/>
              <w:bottom w:val="single" w:sz="4" w:space="0" w:color="auto"/>
              <w:right w:val="nil"/>
            </w:tcBorders>
            <w:shd w:val="clear" w:color="000000" w:fill="808080"/>
            <w:noWrap/>
            <w:vAlign w:val="bottom"/>
            <w:hideMark/>
          </w:tcPr>
          <w:p w14:paraId="76D36F21"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1</w:t>
            </w:r>
          </w:p>
        </w:tc>
        <w:tc>
          <w:tcPr>
            <w:tcW w:w="580" w:type="dxa"/>
            <w:tcBorders>
              <w:top w:val="nil"/>
              <w:left w:val="nil"/>
              <w:bottom w:val="single" w:sz="4" w:space="0" w:color="auto"/>
              <w:right w:val="nil"/>
            </w:tcBorders>
            <w:shd w:val="clear" w:color="000000" w:fill="808080"/>
            <w:noWrap/>
            <w:vAlign w:val="bottom"/>
            <w:hideMark/>
          </w:tcPr>
          <w:p w14:paraId="285B3562"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2</w:t>
            </w:r>
          </w:p>
        </w:tc>
        <w:tc>
          <w:tcPr>
            <w:tcW w:w="580" w:type="dxa"/>
            <w:tcBorders>
              <w:top w:val="nil"/>
              <w:left w:val="nil"/>
              <w:bottom w:val="single" w:sz="4" w:space="0" w:color="auto"/>
              <w:right w:val="nil"/>
            </w:tcBorders>
            <w:shd w:val="clear" w:color="000000" w:fill="808080"/>
            <w:noWrap/>
            <w:vAlign w:val="bottom"/>
            <w:hideMark/>
          </w:tcPr>
          <w:p w14:paraId="4E1BB5C3"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4</w:t>
            </w:r>
          </w:p>
        </w:tc>
        <w:tc>
          <w:tcPr>
            <w:tcW w:w="580" w:type="dxa"/>
            <w:tcBorders>
              <w:top w:val="nil"/>
              <w:left w:val="nil"/>
              <w:bottom w:val="single" w:sz="4" w:space="0" w:color="auto"/>
              <w:right w:val="single" w:sz="4" w:space="0" w:color="auto"/>
            </w:tcBorders>
            <w:shd w:val="clear" w:color="000000" w:fill="808080"/>
            <w:noWrap/>
            <w:vAlign w:val="bottom"/>
            <w:hideMark/>
          </w:tcPr>
          <w:p w14:paraId="1818C66B"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8</w:t>
            </w:r>
          </w:p>
        </w:tc>
        <w:tc>
          <w:tcPr>
            <w:tcW w:w="523" w:type="dxa"/>
            <w:tcBorders>
              <w:top w:val="nil"/>
              <w:left w:val="nil"/>
              <w:bottom w:val="single" w:sz="4" w:space="0" w:color="auto"/>
              <w:right w:val="nil"/>
            </w:tcBorders>
            <w:shd w:val="clear" w:color="000000" w:fill="808080"/>
            <w:noWrap/>
            <w:vAlign w:val="bottom"/>
            <w:hideMark/>
          </w:tcPr>
          <w:p w14:paraId="0980C2C7"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1</w:t>
            </w:r>
          </w:p>
        </w:tc>
        <w:tc>
          <w:tcPr>
            <w:tcW w:w="523" w:type="dxa"/>
            <w:tcBorders>
              <w:top w:val="nil"/>
              <w:left w:val="nil"/>
              <w:bottom w:val="single" w:sz="4" w:space="0" w:color="auto"/>
              <w:right w:val="nil"/>
            </w:tcBorders>
            <w:shd w:val="clear" w:color="000000" w:fill="808080"/>
            <w:noWrap/>
            <w:vAlign w:val="bottom"/>
            <w:hideMark/>
          </w:tcPr>
          <w:p w14:paraId="2BBCFFD8"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2</w:t>
            </w:r>
          </w:p>
        </w:tc>
        <w:tc>
          <w:tcPr>
            <w:tcW w:w="523" w:type="dxa"/>
            <w:tcBorders>
              <w:top w:val="nil"/>
              <w:left w:val="nil"/>
              <w:bottom w:val="single" w:sz="4" w:space="0" w:color="auto"/>
              <w:right w:val="nil"/>
            </w:tcBorders>
            <w:shd w:val="clear" w:color="000000" w:fill="808080"/>
            <w:noWrap/>
            <w:vAlign w:val="bottom"/>
            <w:hideMark/>
          </w:tcPr>
          <w:p w14:paraId="0CAFDA1D"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4</w:t>
            </w:r>
          </w:p>
        </w:tc>
        <w:tc>
          <w:tcPr>
            <w:tcW w:w="751" w:type="dxa"/>
            <w:tcBorders>
              <w:top w:val="nil"/>
              <w:left w:val="nil"/>
              <w:bottom w:val="single" w:sz="4" w:space="0" w:color="auto"/>
              <w:right w:val="single" w:sz="4" w:space="0" w:color="auto"/>
            </w:tcBorders>
            <w:shd w:val="clear" w:color="000000" w:fill="808080"/>
            <w:noWrap/>
            <w:vAlign w:val="bottom"/>
            <w:hideMark/>
          </w:tcPr>
          <w:p w14:paraId="514F3971"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8</w:t>
            </w:r>
          </w:p>
        </w:tc>
        <w:tc>
          <w:tcPr>
            <w:tcW w:w="476" w:type="dxa"/>
            <w:tcBorders>
              <w:top w:val="nil"/>
              <w:left w:val="nil"/>
              <w:bottom w:val="single" w:sz="4" w:space="0" w:color="auto"/>
              <w:right w:val="nil"/>
            </w:tcBorders>
            <w:shd w:val="clear" w:color="000000" w:fill="808080"/>
            <w:noWrap/>
            <w:vAlign w:val="bottom"/>
            <w:hideMark/>
          </w:tcPr>
          <w:p w14:paraId="675B72A6"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1</w:t>
            </w:r>
          </w:p>
        </w:tc>
        <w:tc>
          <w:tcPr>
            <w:tcW w:w="476" w:type="dxa"/>
            <w:tcBorders>
              <w:top w:val="nil"/>
              <w:left w:val="nil"/>
              <w:bottom w:val="single" w:sz="4" w:space="0" w:color="auto"/>
              <w:right w:val="nil"/>
            </w:tcBorders>
            <w:shd w:val="clear" w:color="000000" w:fill="808080"/>
            <w:noWrap/>
            <w:vAlign w:val="bottom"/>
            <w:hideMark/>
          </w:tcPr>
          <w:p w14:paraId="3A4A38E6"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2</w:t>
            </w:r>
          </w:p>
        </w:tc>
        <w:tc>
          <w:tcPr>
            <w:tcW w:w="684" w:type="dxa"/>
            <w:tcBorders>
              <w:top w:val="nil"/>
              <w:left w:val="nil"/>
              <w:bottom w:val="single" w:sz="4" w:space="0" w:color="auto"/>
              <w:right w:val="nil"/>
            </w:tcBorders>
            <w:shd w:val="clear" w:color="000000" w:fill="808080"/>
            <w:noWrap/>
            <w:vAlign w:val="bottom"/>
            <w:hideMark/>
          </w:tcPr>
          <w:p w14:paraId="4C75AD4A"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4</w:t>
            </w:r>
          </w:p>
        </w:tc>
        <w:tc>
          <w:tcPr>
            <w:tcW w:w="684" w:type="dxa"/>
            <w:tcBorders>
              <w:top w:val="nil"/>
              <w:left w:val="nil"/>
              <w:bottom w:val="single" w:sz="4" w:space="0" w:color="auto"/>
              <w:right w:val="single" w:sz="4" w:space="0" w:color="auto"/>
            </w:tcBorders>
            <w:shd w:val="clear" w:color="000000" w:fill="808080"/>
            <w:noWrap/>
            <w:vAlign w:val="bottom"/>
            <w:hideMark/>
          </w:tcPr>
          <w:p w14:paraId="5985D2A3" w14:textId="77777777" w:rsidR="006D39B4" w:rsidRPr="006D39B4" w:rsidRDefault="006D39B4" w:rsidP="006D39B4">
            <w:pPr>
              <w:spacing w:after="0" w:line="240" w:lineRule="auto"/>
              <w:jc w:val="center"/>
              <w:rPr>
                <w:rFonts w:ascii="Calibri" w:eastAsia="Times New Roman" w:hAnsi="Calibri" w:cs="Calibri"/>
                <w:color w:val="FFFFFF"/>
                <w:lang w:eastAsia="sv-SE"/>
              </w:rPr>
            </w:pPr>
            <w:r w:rsidRPr="006D39B4">
              <w:rPr>
                <w:rFonts w:ascii="Calibri" w:eastAsia="Times New Roman" w:hAnsi="Calibri" w:cs="Calibri"/>
                <w:color w:val="FFFFFF"/>
                <w:lang w:eastAsia="sv-SE"/>
              </w:rPr>
              <w:t>8</w:t>
            </w:r>
          </w:p>
        </w:tc>
      </w:tr>
      <w:tr w:rsidR="006D39B4" w:rsidRPr="006D39B4" w14:paraId="7040CF05" w14:textId="77777777" w:rsidTr="006D39B4">
        <w:trPr>
          <w:trHeight w:val="300"/>
        </w:trPr>
        <w:tc>
          <w:tcPr>
            <w:tcW w:w="960" w:type="dxa"/>
            <w:tcBorders>
              <w:top w:val="nil"/>
              <w:left w:val="single" w:sz="4" w:space="0" w:color="auto"/>
              <w:bottom w:val="nil"/>
              <w:right w:val="nil"/>
            </w:tcBorders>
            <w:shd w:val="clear" w:color="000000" w:fill="595959"/>
            <w:noWrap/>
            <w:vAlign w:val="bottom"/>
            <w:hideMark/>
          </w:tcPr>
          <w:p w14:paraId="468FBD1E" w14:textId="77777777" w:rsidR="006D39B4" w:rsidRPr="006D39B4" w:rsidRDefault="006D39B4" w:rsidP="006D39B4">
            <w:pPr>
              <w:spacing w:after="0" w:line="240" w:lineRule="auto"/>
              <w:jc w:val="right"/>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4</w:t>
            </w:r>
          </w:p>
        </w:tc>
        <w:tc>
          <w:tcPr>
            <w:tcW w:w="580" w:type="dxa"/>
            <w:tcBorders>
              <w:top w:val="nil"/>
              <w:left w:val="single" w:sz="4" w:space="0" w:color="auto"/>
              <w:bottom w:val="nil"/>
              <w:right w:val="nil"/>
            </w:tcBorders>
            <w:shd w:val="clear" w:color="000000" w:fill="EDEDED"/>
            <w:noWrap/>
            <w:vAlign w:val="bottom"/>
            <w:hideMark/>
          </w:tcPr>
          <w:p w14:paraId="1356FC58"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12</w:t>
            </w:r>
          </w:p>
        </w:tc>
        <w:tc>
          <w:tcPr>
            <w:tcW w:w="580" w:type="dxa"/>
            <w:tcBorders>
              <w:top w:val="nil"/>
              <w:left w:val="nil"/>
              <w:bottom w:val="nil"/>
              <w:right w:val="nil"/>
            </w:tcBorders>
            <w:shd w:val="clear" w:color="000000" w:fill="FCE4D6"/>
            <w:noWrap/>
            <w:vAlign w:val="bottom"/>
            <w:hideMark/>
          </w:tcPr>
          <w:p w14:paraId="0B1B8AA6"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16</w:t>
            </w:r>
          </w:p>
        </w:tc>
        <w:tc>
          <w:tcPr>
            <w:tcW w:w="580" w:type="dxa"/>
            <w:tcBorders>
              <w:top w:val="nil"/>
              <w:left w:val="nil"/>
              <w:bottom w:val="nil"/>
              <w:right w:val="nil"/>
            </w:tcBorders>
            <w:shd w:val="clear" w:color="000000" w:fill="FCE4D6"/>
            <w:noWrap/>
            <w:vAlign w:val="bottom"/>
            <w:hideMark/>
          </w:tcPr>
          <w:p w14:paraId="3AA2AB24"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24</w:t>
            </w:r>
          </w:p>
        </w:tc>
        <w:tc>
          <w:tcPr>
            <w:tcW w:w="580" w:type="dxa"/>
            <w:tcBorders>
              <w:top w:val="nil"/>
              <w:left w:val="nil"/>
              <w:bottom w:val="nil"/>
              <w:right w:val="single" w:sz="4" w:space="0" w:color="auto"/>
            </w:tcBorders>
            <w:shd w:val="clear" w:color="000000" w:fill="FCE4D6"/>
            <w:noWrap/>
            <w:vAlign w:val="bottom"/>
            <w:hideMark/>
          </w:tcPr>
          <w:p w14:paraId="0D8C5DB2"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40</w:t>
            </w:r>
          </w:p>
        </w:tc>
        <w:tc>
          <w:tcPr>
            <w:tcW w:w="580" w:type="dxa"/>
            <w:tcBorders>
              <w:top w:val="nil"/>
              <w:left w:val="nil"/>
              <w:bottom w:val="nil"/>
              <w:right w:val="nil"/>
            </w:tcBorders>
            <w:shd w:val="clear" w:color="000000" w:fill="EDEDED"/>
            <w:noWrap/>
            <w:vAlign w:val="bottom"/>
            <w:hideMark/>
          </w:tcPr>
          <w:p w14:paraId="5CF3326E"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16</w:t>
            </w:r>
          </w:p>
        </w:tc>
        <w:tc>
          <w:tcPr>
            <w:tcW w:w="580" w:type="dxa"/>
            <w:tcBorders>
              <w:top w:val="nil"/>
              <w:left w:val="nil"/>
              <w:bottom w:val="nil"/>
              <w:right w:val="nil"/>
            </w:tcBorders>
            <w:shd w:val="clear" w:color="000000" w:fill="FCE4D6"/>
            <w:noWrap/>
            <w:vAlign w:val="bottom"/>
            <w:hideMark/>
          </w:tcPr>
          <w:p w14:paraId="78E28BB6"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24</w:t>
            </w:r>
          </w:p>
        </w:tc>
        <w:tc>
          <w:tcPr>
            <w:tcW w:w="580" w:type="dxa"/>
            <w:tcBorders>
              <w:top w:val="nil"/>
              <w:left w:val="nil"/>
              <w:bottom w:val="nil"/>
              <w:right w:val="nil"/>
            </w:tcBorders>
            <w:shd w:val="clear" w:color="000000" w:fill="FCE4D6"/>
            <w:noWrap/>
            <w:vAlign w:val="bottom"/>
            <w:hideMark/>
          </w:tcPr>
          <w:p w14:paraId="2616B89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40</w:t>
            </w:r>
          </w:p>
        </w:tc>
        <w:tc>
          <w:tcPr>
            <w:tcW w:w="580" w:type="dxa"/>
            <w:tcBorders>
              <w:top w:val="nil"/>
              <w:left w:val="nil"/>
              <w:bottom w:val="nil"/>
              <w:right w:val="single" w:sz="4" w:space="0" w:color="auto"/>
            </w:tcBorders>
            <w:shd w:val="clear" w:color="000000" w:fill="FCE4D6"/>
            <w:noWrap/>
            <w:vAlign w:val="bottom"/>
            <w:hideMark/>
          </w:tcPr>
          <w:p w14:paraId="50B4028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72</w:t>
            </w:r>
          </w:p>
        </w:tc>
        <w:tc>
          <w:tcPr>
            <w:tcW w:w="523" w:type="dxa"/>
            <w:tcBorders>
              <w:top w:val="nil"/>
              <w:left w:val="nil"/>
              <w:bottom w:val="nil"/>
              <w:right w:val="nil"/>
            </w:tcBorders>
            <w:shd w:val="clear" w:color="000000" w:fill="EDEDED"/>
            <w:noWrap/>
            <w:vAlign w:val="bottom"/>
            <w:hideMark/>
          </w:tcPr>
          <w:p w14:paraId="24D192B7"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24</w:t>
            </w:r>
          </w:p>
        </w:tc>
        <w:tc>
          <w:tcPr>
            <w:tcW w:w="523" w:type="dxa"/>
            <w:tcBorders>
              <w:top w:val="nil"/>
              <w:left w:val="nil"/>
              <w:bottom w:val="nil"/>
              <w:right w:val="nil"/>
            </w:tcBorders>
            <w:shd w:val="clear" w:color="000000" w:fill="FCE4D6"/>
            <w:noWrap/>
            <w:vAlign w:val="bottom"/>
            <w:hideMark/>
          </w:tcPr>
          <w:p w14:paraId="16F64DA0"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40</w:t>
            </w:r>
          </w:p>
        </w:tc>
        <w:tc>
          <w:tcPr>
            <w:tcW w:w="523" w:type="dxa"/>
            <w:tcBorders>
              <w:top w:val="nil"/>
              <w:left w:val="nil"/>
              <w:bottom w:val="nil"/>
              <w:right w:val="nil"/>
            </w:tcBorders>
            <w:shd w:val="clear" w:color="000000" w:fill="FCE4D6"/>
            <w:noWrap/>
            <w:vAlign w:val="bottom"/>
            <w:hideMark/>
          </w:tcPr>
          <w:p w14:paraId="020CB01F"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72</w:t>
            </w:r>
          </w:p>
        </w:tc>
        <w:tc>
          <w:tcPr>
            <w:tcW w:w="751" w:type="dxa"/>
            <w:tcBorders>
              <w:top w:val="nil"/>
              <w:left w:val="nil"/>
              <w:bottom w:val="nil"/>
              <w:right w:val="single" w:sz="4" w:space="0" w:color="auto"/>
            </w:tcBorders>
            <w:shd w:val="clear" w:color="000000" w:fill="FCE4D6"/>
            <w:noWrap/>
            <w:vAlign w:val="bottom"/>
            <w:hideMark/>
          </w:tcPr>
          <w:p w14:paraId="3BCD4331"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136</w:t>
            </w:r>
          </w:p>
        </w:tc>
        <w:tc>
          <w:tcPr>
            <w:tcW w:w="476" w:type="dxa"/>
            <w:tcBorders>
              <w:top w:val="nil"/>
              <w:left w:val="nil"/>
              <w:bottom w:val="nil"/>
              <w:right w:val="nil"/>
            </w:tcBorders>
            <w:shd w:val="clear" w:color="000000" w:fill="EDEDED"/>
            <w:noWrap/>
            <w:vAlign w:val="bottom"/>
            <w:hideMark/>
          </w:tcPr>
          <w:p w14:paraId="4C9795E7"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40</w:t>
            </w:r>
          </w:p>
        </w:tc>
        <w:tc>
          <w:tcPr>
            <w:tcW w:w="476" w:type="dxa"/>
            <w:tcBorders>
              <w:top w:val="nil"/>
              <w:left w:val="nil"/>
              <w:bottom w:val="nil"/>
              <w:right w:val="nil"/>
            </w:tcBorders>
            <w:shd w:val="clear" w:color="000000" w:fill="FCE4D6"/>
            <w:noWrap/>
            <w:vAlign w:val="bottom"/>
            <w:hideMark/>
          </w:tcPr>
          <w:p w14:paraId="6E5EAD5C"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72</w:t>
            </w:r>
          </w:p>
        </w:tc>
        <w:tc>
          <w:tcPr>
            <w:tcW w:w="684" w:type="dxa"/>
            <w:tcBorders>
              <w:top w:val="nil"/>
              <w:left w:val="nil"/>
              <w:bottom w:val="nil"/>
              <w:right w:val="nil"/>
            </w:tcBorders>
            <w:shd w:val="clear" w:color="000000" w:fill="FCE4D6"/>
            <w:noWrap/>
            <w:vAlign w:val="bottom"/>
            <w:hideMark/>
          </w:tcPr>
          <w:p w14:paraId="412D9896"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136</w:t>
            </w:r>
          </w:p>
        </w:tc>
        <w:tc>
          <w:tcPr>
            <w:tcW w:w="684" w:type="dxa"/>
            <w:tcBorders>
              <w:top w:val="nil"/>
              <w:left w:val="nil"/>
              <w:bottom w:val="nil"/>
              <w:right w:val="single" w:sz="4" w:space="0" w:color="auto"/>
            </w:tcBorders>
            <w:shd w:val="clear" w:color="000000" w:fill="FCE4D6"/>
            <w:noWrap/>
            <w:vAlign w:val="bottom"/>
            <w:hideMark/>
          </w:tcPr>
          <w:p w14:paraId="0D437734"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264</w:t>
            </w:r>
          </w:p>
        </w:tc>
      </w:tr>
      <w:tr w:rsidR="006D39B4" w:rsidRPr="006D39B4" w14:paraId="1AD93A7F" w14:textId="77777777" w:rsidTr="006D39B4">
        <w:trPr>
          <w:trHeight w:val="300"/>
        </w:trPr>
        <w:tc>
          <w:tcPr>
            <w:tcW w:w="960" w:type="dxa"/>
            <w:tcBorders>
              <w:top w:val="nil"/>
              <w:left w:val="single" w:sz="4" w:space="0" w:color="auto"/>
              <w:bottom w:val="nil"/>
              <w:right w:val="nil"/>
            </w:tcBorders>
            <w:shd w:val="clear" w:color="000000" w:fill="595959"/>
            <w:noWrap/>
            <w:vAlign w:val="bottom"/>
            <w:hideMark/>
          </w:tcPr>
          <w:p w14:paraId="0152D773" w14:textId="77777777" w:rsidR="006D39B4" w:rsidRPr="006D39B4" w:rsidRDefault="006D39B4" w:rsidP="006D39B4">
            <w:pPr>
              <w:spacing w:after="0" w:line="240" w:lineRule="auto"/>
              <w:jc w:val="right"/>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8</w:t>
            </w:r>
          </w:p>
        </w:tc>
        <w:tc>
          <w:tcPr>
            <w:tcW w:w="580" w:type="dxa"/>
            <w:tcBorders>
              <w:top w:val="nil"/>
              <w:left w:val="single" w:sz="4" w:space="0" w:color="auto"/>
              <w:bottom w:val="nil"/>
              <w:right w:val="nil"/>
            </w:tcBorders>
            <w:shd w:val="clear" w:color="000000" w:fill="EDEDED"/>
            <w:noWrap/>
            <w:vAlign w:val="bottom"/>
            <w:hideMark/>
          </w:tcPr>
          <w:p w14:paraId="62200827"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16</w:t>
            </w:r>
          </w:p>
        </w:tc>
        <w:tc>
          <w:tcPr>
            <w:tcW w:w="580" w:type="dxa"/>
            <w:tcBorders>
              <w:top w:val="nil"/>
              <w:left w:val="nil"/>
              <w:bottom w:val="nil"/>
              <w:right w:val="nil"/>
            </w:tcBorders>
            <w:shd w:val="clear" w:color="000000" w:fill="FCE4D6"/>
            <w:noWrap/>
            <w:vAlign w:val="bottom"/>
            <w:hideMark/>
          </w:tcPr>
          <w:p w14:paraId="01E5B4E9"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20</w:t>
            </w:r>
          </w:p>
        </w:tc>
        <w:tc>
          <w:tcPr>
            <w:tcW w:w="580" w:type="dxa"/>
            <w:tcBorders>
              <w:top w:val="nil"/>
              <w:left w:val="nil"/>
              <w:bottom w:val="nil"/>
              <w:right w:val="nil"/>
            </w:tcBorders>
            <w:shd w:val="clear" w:color="000000" w:fill="FCE4D6"/>
            <w:noWrap/>
            <w:vAlign w:val="bottom"/>
            <w:hideMark/>
          </w:tcPr>
          <w:p w14:paraId="645A0D6F"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28</w:t>
            </w:r>
          </w:p>
        </w:tc>
        <w:tc>
          <w:tcPr>
            <w:tcW w:w="580" w:type="dxa"/>
            <w:tcBorders>
              <w:top w:val="nil"/>
              <w:left w:val="nil"/>
              <w:bottom w:val="nil"/>
              <w:right w:val="single" w:sz="4" w:space="0" w:color="auto"/>
            </w:tcBorders>
            <w:shd w:val="clear" w:color="000000" w:fill="FCE4D6"/>
            <w:noWrap/>
            <w:vAlign w:val="bottom"/>
            <w:hideMark/>
          </w:tcPr>
          <w:p w14:paraId="6DC23D68"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44</w:t>
            </w:r>
          </w:p>
        </w:tc>
        <w:tc>
          <w:tcPr>
            <w:tcW w:w="580" w:type="dxa"/>
            <w:tcBorders>
              <w:top w:val="nil"/>
              <w:left w:val="nil"/>
              <w:bottom w:val="nil"/>
              <w:right w:val="nil"/>
            </w:tcBorders>
            <w:shd w:val="clear" w:color="000000" w:fill="EDEDED"/>
            <w:noWrap/>
            <w:vAlign w:val="bottom"/>
            <w:hideMark/>
          </w:tcPr>
          <w:p w14:paraId="4FBAA6B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20</w:t>
            </w:r>
          </w:p>
        </w:tc>
        <w:tc>
          <w:tcPr>
            <w:tcW w:w="580" w:type="dxa"/>
            <w:tcBorders>
              <w:top w:val="nil"/>
              <w:left w:val="nil"/>
              <w:bottom w:val="nil"/>
              <w:right w:val="nil"/>
            </w:tcBorders>
            <w:shd w:val="clear" w:color="000000" w:fill="FCE4D6"/>
            <w:noWrap/>
            <w:vAlign w:val="bottom"/>
            <w:hideMark/>
          </w:tcPr>
          <w:p w14:paraId="469A4532"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28</w:t>
            </w:r>
          </w:p>
        </w:tc>
        <w:tc>
          <w:tcPr>
            <w:tcW w:w="580" w:type="dxa"/>
            <w:tcBorders>
              <w:top w:val="nil"/>
              <w:left w:val="nil"/>
              <w:bottom w:val="nil"/>
              <w:right w:val="nil"/>
            </w:tcBorders>
            <w:shd w:val="clear" w:color="000000" w:fill="FCE4D6"/>
            <w:noWrap/>
            <w:vAlign w:val="bottom"/>
            <w:hideMark/>
          </w:tcPr>
          <w:p w14:paraId="275D6808"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44</w:t>
            </w:r>
          </w:p>
        </w:tc>
        <w:tc>
          <w:tcPr>
            <w:tcW w:w="580" w:type="dxa"/>
            <w:tcBorders>
              <w:top w:val="nil"/>
              <w:left w:val="nil"/>
              <w:bottom w:val="nil"/>
              <w:right w:val="single" w:sz="4" w:space="0" w:color="auto"/>
            </w:tcBorders>
            <w:shd w:val="clear" w:color="000000" w:fill="FCE4D6"/>
            <w:noWrap/>
            <w:vAlign w:val="bottom"/>
            <w:hideMark/>
          </w:tcPr>
          <w:p w14:paraId="456CBEB7"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76</w:t>
            </w:r>
          </w:p>
        </w:tc>
        <w:tc>
          <w:tcPr>
            <w:tcW w:w="523" w:type="dxa"/>
            <w:tcBorders>
              <w:top w:val="nil"/>
              <w:left w:val="nil"/>
              <w:bottom w:val="nil"/>
              <w:right w:val="nil"/>
            </w:tcBorders>
            <w:shd w:val="clear" w:color="000000" w:fill="EDEDED"/>
            <w:noWrap/>
            <w:vAlign w:val="bottom"/>
            <w:hideMark/>
          </w:tcPr>
          <w:p w14:paraId="77DD5B14"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28</w:t>
            </w:r>
          </w:p>
        </w:tc>
        <w:tc>
          <w:tcPr>
            <w:tcW w:w="523" w:type="dxa"/>
            <w:tcBorders>
              <w:top w:val="nil"/>
              <w:left w:val="nil"/>
              <w:bottom w:val="nil"/>
              <w:right w:val="nil"/>
            </w:tcBorders>
            <w:shd w:val="clear" w:color="000000" w:fill="FCE4D6"/>
            <w:noWrap/>
            <w:vAlign w:val="bottom"/>
            <w:hideMark/>
          </w:tcPr>
          <w:p w14:paraId="01FBFDFD"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44</w:t>
            </w:r>
          </w:p>
        </w:tc>
        <w:tc>
          <w:tcPr>
            <w:tcW w:w="523" w:type="dxa"/>
            <w:tcBorders>
              <w:top w:val="nil"/>
              <w:left w:val="nil"/>
              <w:bottom w:val="nil"/>
              <w:right w:val="nil"/>
            </w:tcBorders>
            <w:shd w:val="clear" w:color="000000" w:fill="FCE4D6"/>
            <w:noWrap/>
            <w:vAlign w:val="bottom"/>
            <w:hideMark/>
          </w:tcPr>
          <w:p w14:paraId="3B4B7FCB"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76</w:t>
            </w:r>
          </w:p>
        </w:tc>
        <w:tc>
          <w:tcPr>
            <w:tcW w:w="751" w:type="dxa"/>
            <w:tcBorders>
              <w:top w:val="nil"/>
              <w:left w:val="nil"/>
              <w:bottom w:val="nil"/>
              <w:right w:val="single" w:sz="4" w:space="0" w:color="auto"/>
            </w:tcBorders>
            <w:shd w:val="clear" w:color="000000" w:fill="FCE4D6"/>
            <w:noWrap/>
            <w:vAlign w:val="bottom"/>
            <w:hideMark/>
          </w:tcPr>
          <w:p w14:paraId="5A72610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140</w:t>
            </w:r>
          </w:p>
        </w:tc>
        <w:tc>
          <w:tcPr>
            <w:tcW w:w="476" w:type="dxa"/>
            <w:tcBorders>
              <w:top w:val="nil"/>
              <w:left w:val="nil"/>
              <w:bottom w:val="nil"/>
              <w:right w:val="nil"/>
            </w:tcBorders>
            <w:shd w:val="clear" w:color="000000" w:fill="EDEDED"/>
            <w:noWrap/>
            <w:vAlign w:val="bottom"/>
            <w:hideMark/>
          </w:tcPr>
          <w:p w14:paraId="7100D83A"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44</w:t>
            </w:r>
          </w:p>
        </w:tc>
        <w:tc>
          <w:tcPr>
            <w:tcW w:w="476" w:type="dxa"/>
            <w:tcBorders>
              <w:top w:val="nil"/>
              <w:left w:val="nil"/>
              <w:bottom w:val="nil"/>
              <w:right w:val="nil"/>
            </w:tcBorders>
            <w:shd w:val="clear" w:color="000000" w:fill="FCE4D6"/>
            <w:noWrap/>
            <w:vAlign w:val="bottom"/>
            <w:hideMark/>
          </w:tcPr>
          <w:p w14:paraId="487419FD"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76</w:t>
            </w:r>
          </w:p>
        </w:tc>
        <w:tc>
          <w:tcPr>
            <w:tcW w:w="684" w:type="dxa"/>
            <w:tcBorders>
              <w:top w:val="nil"/>
              <w:left w:val="nil"/>
              <w:bottom w:val="nil"/>
              <w:right w:val="nil"/>
            </w:tcBorders>
            <w:shd w:val="clear" w:color="000000" w:fill="FCE4D6"/>
            <w:noWrap/>
            <w:vAlign w:val="bottom"/>
            <w:hideMark/>
          </w:tcPr>
          <w:p w14:paraId="2915CE90"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140</w:t>
            </w:r>
          </w:p>
        </w:tc>
        <w:tc>
          <w:tcPr>
            <w:tcW w:w="684" w:type="dxa"/>
            <w:tcBorders>
              <w:top w:val="nil"/>
              <w:left w:val="nil"/>
              <w:bottom w:val="nil"/>
              <w:right w:val="single" w:sz="4" w:space="0" w:color="auto"/>
            </w:tcBorders>
            <w:shd w:val="clear" w:color="000000" w:fill="FCE4D6"/>
            <w:noWrap/>
            <w:vAlign w:val="bottom"/>
            <w:hideMark/>
          </w:tcPr>
          <w:p w14:paraId="44A22103"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268</w:t>
            </w:r>
          </w:p>
        </w:tc>
      </w:tr>
      <w:tr w:rsidR="006D39B4" w:rsidRPr="006D39B4" w14:paraId="37995EC2" w14:textId="77777777" w:rsidTr="006D39B4">
        <w:trPr>
          <w:trHeight w:val="300"/>
        </w:trPr>
        <w:tc>
          <w:tcPr>
            <w:tcW w:w="960" w:type="dxa"/>
            <w:tcBorders>
              <w:top w:val="nil"/>
              <w:left w:val="single" w:sz="4" w:space="0" w:color="auto"/>
              <w:bottom w:val="single" w:sz="4" w:space="0" w:color="auto"/>
              <w:right w:val="nil"/>
            </w:tcBorders>
            <w:shd w:val="clear" w:color="000000" w:fill="595959"/>
            <w:noWrap/>
            <w:vAlign w:val="bottom"/>
            <w:hideMark/>
          </w:tcPr>
          <w:p w14:paraId="1AA5DBC7" w14:textId="77777777" w:rsidR="006D39B4" w:rsidRPr="006D39B4" w:rsidRDefault="006D39B4" w:rsidP="006D39B4">
            <w:pPr>
              <w:spacing w:after="0" w:line="240" w:lineRule="auto"/>
              <w:jc w:val="right"/>
              <w:rPr>
                <w:rFonts w:ascii="Calibri" w:eastAsia="Times New Roman" w:hAnsi="Calibri" w:cs="Calibri"/>
                <w:b/>
                <w:bCs/>
                <w:color w:val="FFFFFF"/>
                <w:lang w:eastAsia="sv-SE"/>
              </w:rPr>
            </w:pPr>
            <w:r w:rsidRPr="006D39B4">
              <w:rPr>
                <w:rFonts w:ascii="Calibri" w:eastAsia="Times New Roman" w:hAnsi="Calibri" w:cs="Calibri"/>
                <w:b/>
                <w:bCs/>
                <w:color w:val="FFFFFF"/>
                <w:lang w:eastAsia="sv-SE"/>
              </w:rPr>
              <w:t>16</w:t>
            </w:r>
          </w:p>
        </w:tc>
        <w:tc>
          <w:tcPr>
            <w:tcW w:w="580" w:type="dxa"/>
            <w:tcBorders>
              <w:top w:val="nil"/>
              <w:left w:val="single" w:sz="4" w:space="0" w:color="auto"/>
              <w:bottom w:val="single" w:sz="4" w:space="0" w:color="auto"/>
              <w:right w:val="nil"/>
            </w:tcBorders>
            <w:shd w:val="clear" w:color="000000" w:fill="EDEDED"/>
            <w:noWrap/>
            <w:vAlign w:val="bottom"/>
            <w:hideMark/>
          </w:tcPr>
          <w:p w14:paraId="67ED1943"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24</w:t>
            </w:r>
          </w:p>
        </w:tc>
        <w:tc>
          <w:tcPr>
            <w:tcW w:w="580" w:type="dxa"/>
            <w:tcBorders>
              <w:top w:val="nil"/>
              <w:left w:val="nil"/>
              <w:bottom w:val="single" w:sz="4" w:space="0" w:color="auto"/>
              <w:right w:val="nil"/>
            </w:tcBorders>
            <w:shd w:val="clear" w:color="000000" w:fill="FCE4D6"/>
            <w:noWrap/>
            <w:vAlign w:val="bottom"/>
            <w:hideMark/>
          </w:tcPr>
          <w:p w14:paraId="0DEF137B"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28</w:t>
            </w:r>
          </w:p>
        </w:tc>
        <w:tc>
          <w:tcPr>
            <w:tcW w:w="580" w:type="dxa"/>
            <w:tcBorders>
              <w:top w:val="nil"/>
              <w:left w:val="nil"/>
              <w:bottom w:val="single" w:sz="4" w:space="0" w:color="auto"/>
              <w:right w:val="nil"/>
            </w:tcBorders>
            <w:shd w:val="clear" w:color="000000" w:fill="FCE4D6"/>
            <w:noWrap/>
            <w:vAlign w:val="bottom"/>
            <w:hideMark/>
          </w:tcPr>
          <w:p w14:paraId="27CB1DFE"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36</w:t>
            </w:r>
          </w:p>
        </w:tc>
        <w:tc>
          <w:tcPr>
            <w:tcW w:w="580" w:type="dxa"/>
            <w:tcBorders>
              <w:top w:val="nil"/>
              <w:left w:val="nil"/>
              <w:bottom w:val="single" w:sz="4" w:space="0" w:color="auto"/>
              <w:right w:val="single" w:sz="4" w:space="0" w:color="auto"/>
            </w:tcBorders>
            <w:shd w:val="clear" w:color="000000" w:fill="FCE4D6"/>
            <w:noWrap/>
            <w:vAlign w:val="bottom"/>
            <w:hideMark/>
          </w:tcPr>
          <w:p w14:paraId="364A579D"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52</w:t>
            </w:r>
          </w:p>
        </w:tc>
        <w:tc>
          <w:tcPr>
            <w:tcW w:w="580" w:type="dxa"/>
            <w:tcBorders>
              <w:top w:val="nil"/>
              <w:left w:val="nil"/>
              <w:bottom w:val="single" w:sz="4" w:space="0" w:color="auto"/>
              <w:right w:val="nil"/>
            </w:tcBorders>
            <w:shd w:val="clear" w:color="000000" w:fill="EDEDED"/>
            <w:noWrap/>
            <w:vAlign w:val="bottom"/>
            <w:hideMark/>
          </w:tcPr>
          <w:p w14:paraId="5D1000AB"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28</w:t>
            </w:r>
          </w:p>
        </w:tc>
        <w:tc>
          <w:tcPr>
            <w:tcW w:w="580" w:type="dxa"/>
            <w:tcBorders>
              <w:top w:val="nil"/>
              <w:left w:val="nil"/>
              <w:bottom w:val="single" w:sz="4" w:space="0" w:color="auto"/>
              <w:right w:val="nil"/>
            </w:tcBorders>
            <w:shd w:val="clear" w:color="000000" w:fill="FCE4D6"/>
            <w:noWrap/>
            <w:vAlign w:val="bottom"/>
            <w:hideMark/>
          </w:tcPr>
          <w:p w14:paraId="49F689C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36</w:t>
            </w:r>
          </w:p>
        </w:tc>
        <w:tc>
          <w:tcPr>
            <w:tcW w:w="580" w:type="dxa"/>
            <w:tcBorders>
              <w:top w:val="nil"/>
              <w:left w:val="nil"/>
              <w:bottom w:val="single" w:sz="4" w:space="0" w:color="auto"/>
              <w:right w:val="nil"/>
            </w:tcBorders>
            <w:shd w:val="clear" w:color="000000" w:fill="FCE4D6"/>
            <w:noWrap/>
            <w:vAlign w:val="bottom"/>
            <w:hideMark/>
          </w:tcPr>
          <w:p w14:paraId="121028C1"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52</w:t>
            </w:r>
          </w:p>
        </w:tc>
        <w:tc>
          <w:tcPr>
            <w:tcW w:w="580" w:type="dxa"/>
            <w:tcBorders>
              <w:top w:val="nil"/>
              <w:left w:val="nil"/>
              <w:bottom w:val="single" w:sz="4" w:space="0" w:color="auto"/>
              <w:right w:val="single" w:sz="4" w:space="0" w:color="auto"/>
            </w:tcBorders>
            <w:shd w:val="clear" w:color="000000" w:fill="FCE4D6"/>
            <w:noWrap/>
            <w:vAlign w:val="bottom"/>
            <w:hideMark/>
          </w:tcPr>
          <w:p w14:paraId="10F833F5"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84</w:t>
            </w:r>
          </w:p>
        </w:tc>
        <w:tc>
          <w:tcPr>
            <w:tcW w:w="523" w:type="dxa"/>
            <w:tcBorders>
              <w:top w:val="nil"/>
              <w:left w:val="nil"/>
              <w:bottom w:val="single" w:sz="4" w:space="0" w:color="auto"/>
              <w:right w:val="nil"/>
            </w:tcBorders>
            <w:shd w:val="clear" w:color="000000" w:fill="EDEDED"/>
            <w:noWrap/>
            <w:vAlign w:val="bottom"/>
            <w:hideMark/>
          </w:tcPr>
          <w:p w14:paraId="1CEDE831"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36</w:t>
            </w:r>
          </w:p>
        </w:tc>
        <w:tc>
          <w:tcPr>
            <w:tcW w:w="523" w:type="dxa"/>
            <w:tcBorders>
              <w:top w:val="nil"/>
              <w:left w:val="nil"/>
              <w:bottom w:val="single" w:sz="4" w:space="0" w:color="auto"/>
              <w:right w:val="nil"/>
            </w:tcBorders>
            <w:shd w:val="clear" w:color="000000" w:fill="FCE4D6"/>
            <w:noWrap/>
            <w:vAlign w:val="bottom"/>
            <w:hideMark/>
          </w:tcPr>
          <w:p w14:paraId="6DF15D64"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52</w:t>
            </w:r>
          </w:p>
        </w:tc>
        <w:tc>
          <w:tcPr>
            <w:tcW w:w="523" w:type="dxa"/>
            <w:tcBorders>
              <w:top w:val="nil"/>
              <w:left w:val="nil"/>
              <w:bottom w:val="single" w:sz="4" w:space="0" w:color="auto"/>
              <w:right w:val="nil"/>
            </w:tcBorders>
            <w:shd w:val="clear" w:color="000000" w:fill="FCE4D6"/>
            <w:noWrap/>
            <w:vAlign w:val="bottom"/>
            <w:hideMark/>
          </w:tcPr>
          <w:p w14:paraId="5F98AB01"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84</w:t>
            </w:r>
          </w:p>
        </w:tc>
        <w:tc>
          <w:tcPr>
            <w:tcW w:w="751" w:type="dxa"/>
            <w:tcBorders>
              <w:top w:val="nil"/>
              <w:left w:val="nil"/>
              <w:bottom w:val="single" w:sz="4" w:space="0" w:color="auto"/>
              <w:right w:val="single" w:sz="4" w:space="0" w:color="auto"/>
            </w:tcBorders>
            <w:shd w:val="clear" w:color="000000" w:fill="FCE4D6"/>
            <w:noWrap/>
            <w:vAlign w:val="bottom"/>
            <w:hideMark/>
          </w:tcPr>
          <w:p w14:paraId="7EE531EE"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148</w:t>
            </w:r>
          </w:p>
        </w:tc>
        <w:tc>
          <w:tcPr>
            <w:tcW w:w="476" w:type="dxa"/>
            <w:tcBorders>
              <w:top w:val="nil"/>
              <w:left w:val="nil"/>
              <w:bottom w:val="single" w:sz="4" w:space="0" w:color="auto"/>
              <w:right w:val="nil"/>
            </w:tcBorders>
            <w:shd w:val="clear" w:color="000000" w:fill="EDEDED"/>
            <w:noWrap/>
            <w:vAlign w:val="bottom"/>
            <w:hideMark/>
          </w:tcPr>
          <w:p w14:paraId="39B97F3B"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52</w:t>
            </w:r>
          </w:p>
        </w:tc>
        <w:tc>
          <w:tcPr>
            <w:tcW w:w="476" w:type="dxa"/>
            <w:tcBorders>
              <w:top w:val="nil"/>
              <w:left w:val="nil"/>
              <w:bottom w:val="single" w:sz="4" w:space="0" w:color="auto"/>
              <w:right w:val="nil"/>
            </w:tcBorders>
            <w:shd w:val="clear" w:color="000000" w:fill="FCE4D6"/>
            <w:noWrap/>
            <w:vAlign w:val="bottom"/>
            <w:hideMark/>
          </w:tcPr>
          <w:p w14:paraId="1C52D95F"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84</w:t>
            </w:r>
          </w:p>
        </w:tc>
        <w:tc>
          <w:tcPr>
            <w:tcW w:w="684" w:type="dxa"/>
            <w:tcBorders>
              <w:top w:val="nil"/>
              <w:left w:val="nil"/>
              <w:bottom w:val="single" w:sz="4" w:space="0" w:color="auto"/>
              <w:right w:val="nil"/>
            </w:tcBorders>
            <w:shd w:val="clear" w:color="000000" w:fill="FCE4D6"/>
            <w:noWrap/>
            <w:vAlign w:val="bottom"/>
            <w:hideMark/>
          </w:tcPr>
          <w:p w14:paraId="3169CA4F" w14:textId="77777777" w:rsidR="006D39B4" w:rsidRPr="006D39B4" w:rsidRDefault="006D39B4" w:rsidP="006D39B4">
            <w:pPr>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148</w:t>
            </w:r>
          </w:p>
        </w:tc>
        <w:tc>
          <w:tcPr>
            <w:tcW w:w="684" w:type="dxa"/>
            <w:tcBorders>
              <w:top w:val="nil"/>
              <w:left w:val="nil"/>
              <w:bottom w:val="single" w:sz="4" w:space="0" w:color="auto"/>
              <w:right w:val="single" w:sz="4" w:space="0" w:color="auto"/>
            </w:tcBorders>
            <w:shd w:val="clear" w:color="000000" w:fill="FCE4D6"/>
            <w:noWrap/>
            <w:vAlign w:val="bottom"/>
            <w:hideMark/>
          </w:tcPr>
          <w:p w14:paraId="42830666" w14:textId="77777777" w:rsidR="006D39B4" w:rsidRPr="006D39B4" w:rsidRDefault="006D39B4" w:rsidP="006D39B4">
            <w:pPr>
              <w:keepNext/>
              <w:spacing w:after="0" w:line="240" w:lineRule="auto"/>
              <w:jc w:val="center"/>
              <w:rPr>
                <w:rFonts w:ascii="Calibri" w:eastAsia="Times New Roman" w:hAnsi="Calibri" w:cs="Calibri"/>
                <w:color w:val="000000"/>
                <w:lang w:eastAsia="sv-SE"/>
              </w:rPr>
            </w:pPr>
            <w:r w:rsidRPr="006D39B4">
              <w:rPr>
                <w:rFonts w:ascii="Calibri" w:eastAsia="Times New Roman" w:hAnsi="Calibri" w:cs="Calibri"/>
                <w:color w:val="000000"/>
                <w:lang w:eastAsia="sv-SE"/>
              </w:rPr>
              <w:t>276</w:t>
            </w:r>
          </w:p>
        </w:tc>
      </w:tr>
    </w:tbl>
    <w:p w14:paraId="691C6D00" w14:textId="43EEC1CB" w:rsidR="006D39B4" w:rsidRDefault="006D39B4" w:rsidP="006D39B4">
      <w:pPr>
        <w:pStyle w:val="Caption"/>
        <w:rPr>
          <w:rFonts w:ascii="Arial" w:hAnsi="Arial" w:cs="Arial"/>
          <w:lang w:val="en-US"/>
        </w:rPr>
      </w:pPr>
      <w:bookmarkStart w:id="4" w:name="_Ref16756799"/>
      <w:r w:rsidRPr="00D34E87">
        <w:rPr>
          <w:lang w:val="en-US"/>
        </w:rPr>
        <w:t xml:space="preserve">Figure </w:t>
      </w:r>
      <w:r>
        <w:fldChar w:fldCharType="begin"/>
      </w:r>
      <w:r w:rsidRPr="00D34E87">
        <w:rPr>
          <w:lang w:val="en-US"/>
        </w:rPr>
        <w:instrText xml:space="preserve"> SEQ Figure \* ARABIC </w:instrText>
      </w:r>
      <w:r>
        <w:fldChar w:fldCharType="separate"/>
      </w:r>
      <w:r w:rsidR="00EB3DEC">
        <w:rPr>
          <w:noProof/>
          <w:lang w:val="en-US"/>
        </w:rPr>
        <w:t>2</w:t>
      </w:r>
      <w:r>
        <w:fldChar w:fldCharType="end"/>
      </w:r>
      <w:bookmarkEnd w:id="4"/>
      <w:r w:rsidR="00A377B8" w:rsidRPr="00D34E87">
        <w:rPr>
          <w:lang w:val="en-US"/>
        </w:rPr>
        <w:t>: Total transmission length for different number of TBs</w:t>
      </w:r>
      <w:r w:rsidR="001D2575" w:rsidRPr="00D34E87">
        <w:rPr>
          <w:lang w:val="en-US"/>
        </w:rPr>
        <w:t xml:space="preserve"> and repet</w:t>
      </w:r>
      <w:r w:rsidR="00D34E87" w:rsidRPr="00D34E87">
        <w:rPr>
          <w:lang w:val="en-US"/>
        </w:rPr>
        <w:t>itions on MPDCCH and PUSCH.</w:t>
      </w:r>
    </w:p>
    <w:p w14:paraId="5A551280" w14:textId="6EAC7549" w:rsidR="003B55DD" w:rsidRPr="0042395E" w:rsidRDefault="003B55DD" w:rsidP="003B55DD">
      <w:pPr>
        <w:rPr>
          <w:rFonts w:ascii="Arial" w:hAnsi="Arial" w:cs="Arial"/>
          <w:lang w:val="en-US" w:eastAsia="en-GB"/>
        </w:rPr>
      </w:pPr>
      <w:r w:rsidRPr="0042395E">
        <w:rPr>
          <w:rFonts w:ascii="Arial" w:hAnsi="Arial" w:cs="Arial"/>
          <w:lang w:val="en-US" w:eastAsia="en-GB"/>
        </w:rPr>
        <w:t xml:space="preserve">It can be noted that with 32 repetitions on PUSCH, the total transmission length is above 250ms if 8 TBs is used, which may be too long to be applicable to certain services, e.g. voice. If only 2 TBs </w:t>
      </w:r>
      <w:r w:rsidRPr="0042395E">
        <w:rPr>
          <w:rFonts w:ascii="Arial" w:hAnsi="Arial" w:cs="Arial"/>
          <w:lang w:val="en-US" w:eastAsia="en-GB"/>
        </w:rPr>
        <w:lastRenderedPageBreak/>
        <w:t xml:space="preserve">are used, the total transmission length is below 100ms which </w:t>
      </w:r>
      <w:proofErr w:type="gramStart"/>
      <w:r w:rsidRPr="0042395E">
        <w:rPr>
          <w:rFonts w:ascii="Arial" w:hAnsi="Arial" w:cs="Arial"/>
          <w:lang w:val="en-US" w:eastAsia="en-GB"/>
        </w:rPr>
        <w:t>is considered to be</w:t>
      </w:r>
      <w:proofErr w:type="gramEnd"/>
      <w:r w:rsidRPr="0042395E">
        <w:rPr>
          <w:rFonts w:ascii="Arial" w:hAnsi="Arial" w:cs="Arial"/>
          <w:lang w:val="en-US" w:eastAsia="en-GB"/>
        </w:rPr>
        <w:t xml:space="preserve"> more within the acceptable range for e.g. voice services.</w:t>
      </w:r>
    </w:p>
    <w:p w14:paraId="0CB38BD3" w14:textId="77777777" w:rsidR="003B55DD" w:rsidRPr="0042395E" w:rsidRDefault="003B55DD" w:rsidP="003B55DD">
      <w:pPr>
        <w:pStyle w:val="Observation"/>
        <w:jc w:val="left"/>
        <w:rPr>
          <w:lang w:val="en-US"/>
        </w:rPr>
      </w:pPr>
      <w:bookmarkStart w:id="5" w:name="_Toc16872194"/>
      <w:r w:rsidRPr="0042395E">
        <w:rPr>
          <w:lang w:val="en-US"/>
        </w:rPr>
        <w:t>The total transmission length when allocating 8 TBs with one DCI may be prohibitively large for certain services.</w:t>
      </w:r>
      <w:bookmarkEnd w:id="5"/>
    </w:p>
    <w:p w14:paraId="2F0A2FF2" w14:textId="77777777" w:rsidR="00145107" w:rsidRDefault="00145107" w:rsidP="003B55DD">
      <w:pPr>
        <w:rPr>
          <w:rFonts w:ascii="Arial" w:hAnsi="Arial" w:cs="Arial"/>
          <w:lang w:val="en-US" w:eastAsia="en-GB"/>
        </w:rPr>
      </w:pPr>
    </w:p>
    <w:p w14:paraId="65CBF998" w14:textId="4402563D" w:rsidR="0032067A" w:rsidRDefault="003B55DD" w:rsidP="0032067A">
      <w:pPr>
        <w:rPr>
          <w:rFonts w:ascii="Arial" w:hAnsi="Arial" w:cs="Arial"/>
          <w:lang w:val="en-US" w:eastAsia="en-GB"/>
        </w:rPr>
      </w:pPr>
      <w:r w:rsidRPr="0042395E">
        <w:rPr>
          <w:rFonts w:ascii="Arial" w:hAnsi="Arial" w:cs="Arial"/>
          <w:lang w:val="en-US" w:eastAsia="en-GB"/>
        </w:rPr>
        <w:t xml:space="preserve">The </w:t>
      </w:r>
      <w:r w:rsidRPr="006E2005">
        <w:rPr>
          <w:rFonts w:ascii="Arial" w:hAnsi="Arial" w:cs="Arial"/>
          <w:lang w:val="en-US" w:eastAsia="en-GB"/>
        </w:rPr>
        <w:t>achieved duty cycle on PUSCH (i.e. the number of sub frames within on transmission cycle that is used for PUSCH transmissions) is shown in</w:t>
      </w:r>
      <w:r w:rsidR="00EA5871" w:rsidRPr="006E2005">
        <w:rPr>
          <w:rFonts w:ascii="Arial" w:hAnsi="Arial" w:cs="Arial"/>
          <w:lang w:val="en-US" w:eastAsia="en-GB"/>
        </w:rPr>
        <w:t xml:space="preserve"> </w:t>
      </w:r>
      <w:r w:rsidR="00DC13C8" w:rsidRPr="006E2005">
        <w:rPr>
          <w:rFonts w:ascii="Arial" w:hAnsi="Arial" w:cs="Arial"/>
          <w:lang w:val="en-US" w:eastAsia="en-GB"/>
        </w:rPr>
        <w:fldChar w:fldCharType="begin"/>
      </w:r>
      <w:r w:rsidR="00DC13C8" w:rsidRPr="006E2005">
        <w:rPr>
          <w:rFonts w:ascii="Arial" w:hAnsi="Arial" w:cs="Arial"/>
          <w:lang w:val="en-US" w:eastAsia="en-GB"/>
        </w:rPr>
        <w:instrText xml:space="preserve"> REF _Ref16756899 \h </w:instrText>
      </w:r>
      <w:r w:rsidR="006E2005">
        <w:rPr>
          <w:rFonts w:ascii="Arial" w:hAnsi="Arial" w:cs="Arial"/>
          <w:lang w:val="en-US" w:eastAsia="en-GB"/>
        </w:rPr>
        <w:instrText xml:space="preserve"> \* MERGEFORMAT </w:instrText>
      </w:r>
      <w:r w:rsidR="00DC13C8" w:rsidRPr="006E2005">
        <w:rPr>
          <w:rFonts w:ascii="Arial" w:hAnsi="Arial" w:cs="Arial"/>
          <w:lang w:val="en-US" w:eastAsia="en-GB"/>
        </w:rPr>
      </w:r>
      <w:r w:rsidR="00DC13C8" w:rsidRPr="006E2005">
        <w:rPr>
          <w:rFonts w:ascii="Arial" w:hAnsi="Arial" w:cs="Arial"/>
          <w:lang w:val="en-US" w:eastAsia="en-GB"/>
        </w:rPr>
        <w:fldChar w:fldCharType="separate"/>
      </w:r>
      <w:r w:rsidR="00EB3DEC" w:rsidRPr="00EB3DEC">
        <w:rPr>
          <w:rFonts w:ascii="Arial" w:hAnsi="Arial" w:cs="Arial"/>
          <w:lang w:val="en-US"/>
        </w:rPr>
        <w:t xml:space="preserve">Figure </w:t>
      </w:r>
      <w:r w:rsidR="00EB3DEC" w:rsidRPr="00EB3DEC">
        <w:rPr>
          <w:rFonts w:ascii="Arial" w:hAnsi="Arial" w:cs="Arial"/>
          <w:noProof/>
          <w:lang w:val="en-US"/>
        </w:rPr>
        <w:t>3</w:t>
      </w:r>
      <w:r w:rsidR="00DC13C8" w:rsidRPr="006E2005">
        <w:rPr>
          <w:rFonts w:ascii="Arial" w:hAnsi="Arial" w:cs="Arial"/>
          <w:lang w:val="en-US" w:eastAsia="en-GB"/>
        </w:rPr>
        <w:fldChar w:fldCharType="end"/>
      </w:r>
      <w:r w:rsidR="0032067A" w:rsidRPr="006E2005">
        <w:rPr>
          <w:rFonts w:ascii="Arial" w:hAnsi="Arial" w:cs="Arial"/>
          <w:lang w:val="en-US" w:eastAsia="en-GB"/>
        </w:rPr>
        <w:t xml:space="preserve">, and the corresponding estimated coverage gain (computed via the difference in duty cycle), is shown in </w:t>
      </w:r>
      <w:r w:rsidR="006E2005" w:rsidRPr="006E2005">
        <w:rPr>
          <w:rFonts w:ascii="Arial" w:hAnsi="Arial" w:cs="Arial"/>
          <w:lang w:val="en-US" w:eastAsia="en-GB"/>
        </w:rPr>
        <w:fldChar w:fldCharType="begin"/>
      </w:r>
      <w:r w:rsidR="006E2005" w:rsidRPr="006E2005">
        <w:rPr>
          <w:rFonts w:ascii="Arial" w:hAnsi="Arial" w:cs="Arial"/>
          <w:lang w:val="en-US" w:eastAsia="en-GB"/>
        </w:rPr>
        <w:instrText xml:space="preserve"> REF _Ref16756910 \h </w:instrText>
      </w:r>
      <w:r w:rsidR="006E2005">
        <w:rPr>
          <w:rFonts w:ascii="Arial" w:hAnsi="Arial" w:cs="Arial"/>
          <w:lang w:val="en-US" w:eastAsia="en-GB"/>
        </w:rPr>
        <w:instrText xml:space="preserve"> \* MERGEFORMAT </w:instrText>
      </w:r>
      <w:r w:rsidR="006E2005" w:rsidRPr="006E2005">
        <w:rPr>
          <w:rFonts w:ascii="Arial" w:hAnsi="Arial" w:cs="Arial"/>
          <w:lang w:val="en-US" w:eastAsia="en-GB"/>
        </w:rPr>
      </w:r>
      <w:r w:rsidR="006E2005" w:rsidRPr="006E2005">
        <w:rPr>
          <w:rFonts w:ascii="Arial" w:hAnsi="Arial" w:cs="Arial"/>
          <w:lang w:val="en-US" w:eastAsia="en-GB"/>
        </w:rPr>
        <w:fldChar w:fldCharType="separate"/>
      </w:r>
      <w:r w:rsidR="00EB3DEC" w:rsidRPr="00EB3DEC">
        <w:rPr>
          <w:rFonts w:ascii="Arial" w:hAnsi="Arial" w:cs="Arial"/>
          <w:lang w:val="en-US"/>
        </w:rPr>
        <w:t xml:space="preserve">Figure </w:t>
      </w:r>
      <w:r w:rsidR="00EB3DEC" w:rsidRPr="00EB3DEC">
        <w:rPr>
          <w:rFonts w:ascii="Arial" w:hAnsi="Arial" w:cs="Arial"/>
          <w:noProof/>
          <w:lang w:val="en-US"/>
        </w:rPr>
        <w:t>4</w:t>
      </w:r>
      <w:r w:rsidR="006E2005" w:rsidRPr="006E2005">
        <w:rPr>
          <w:rFonts w:ascii="Arial" w:hAnsi="Arial" w:cs="Arial"/>
          <w:lang w:val="en-US" w:eastAsia="en-GB"/>
        </w:rPr>
        <w:fldChar w:fldCharType="end"/>
      </w:r>
      <w:r w:rsidR="006E2005" w:rsidRPr="006E2005">
        <w:rPr>
          <w:rFonts w:ascii="Arial" w:hAnsi="Arial" w:cs="Arial"/>
          <w:lang w:val="en-US" w:eastAsia="en-GB"/>
        </w:rPr>
        <w:t>.</w:t>
      </w:r>
    </w:p>
    <w:p w14:paraId="47F2EB50" w14:textId="25F764B3" w:rsidR="00145107" w:rsidRDefault="00145107" w:rsidP="00145107">
      <w:pPr>
        <w:rPr>
          <w:rFonts w:ascii="Arial" w:hAnsi="Arial" w:cs="Arial"/>
          <w:lang w:val="en-US" w:eastAsia="en-GB"/>
        </w:rPr>
      </w:pPr>
    </w:p>
    <w:tbl>
      <w:tblPr>
        <w:tblW w:w="10240" w:type="dxa"/>
        <w:tblCellMar>
          <w:left w:w="70" w:type="dxa"/>
          <w:right w:w="70" w:type="dxa"/>
        </w:tblCellMar>
        <w:tblLook w:val="04A0" w:firstRow="1" w:lastRow="0" w:firstColumn="1" w:lastColumn="0" w:noHBand="0" w:noVBand="1"/>
      </w:tblPr>
      <w:tblGrid>
        <w:gridCol w:w="960"/>
        <w:gridCol w:w="580"/>
        <w:gridCol w:w="580"/>
        <w:gridCol w:w="580"/>
        <w:gridCol w:w="580"/>
        <w:gridCol w:w="580"/>
        <w:gridCol w:w="580"/>
        <w:gridCol w:w="580"/>
        <w:gridCol w:w="580"/>
        <w:gridCol w:w="580"/>
        <w:gridCol w:w="580"/>
        <w:gridCol w:w="580"/>
        <w:gridCol w:w="580"/>
        <w:gridCol w:w="580"/>
        <w:gridCol w:w="580"/>
        <w:gridCol w:w="580"/>
        <w:gridCol w:w="580"/>
      </w:tblGrid>
      <w:tr w:rsidR="00903F44" w:rsidRPr="00903F44" w14:paraId="11E3E0C1" w14:textId="77777777" w:rsidTr="00903F44">
        <w:trPr>
          <w:trHeight w:val="300"/>
        </w:trPr>
        <w:tc>
          <w:tcPr>
            <w:tcW w:w="960" w:type="dxa"/>
            <w:tcBorders>
              <w:top w:val="single" w:sz="4" w:space="0" w:color="auto"/>
              <w:left w:val="single" w:sz="4" w:space="0" w:color="auto"/>
              <w:bottom w:val="nil"/>
              <w:right w:val="nil"/>
            </w:tcBorders>
            <w:shd w:val="clear" w:color="000000" w:fill="595959"/>
            <w:noWrap/>
            <w:vAlign w:val="bottom"/>
            <w:hideMark/>
          </w:tcPr>
          <w:p w14:paraId="54AD3BC2" w14:textId="77777777" w:rsidR="00903F44" w:rsidRPr="00903F44" w:rsidRDefault="00903F44" w:rsidP="00903F44">
            <w:pPr>
              <w:spacing w:after="0" w:line="240" w:lineRule="auto"/>
              <w:rPr>
                <w:rFonts w:ascii="Calibri" w:eastAsia="Times New Roman" w:hAnsi="Calibri" w:cs="Calibri"/>
                <w:b/>
                <w:bCs/>
                <w:color w:val="FFFFFF"/>
                <w:lang w:val="en-US" w:eastAsia="sv-SE"/>
              </w:rPr>
            </w:pPr>
            <w:r w:rsidRPr="00903F44">
              <w:rPr>
                <w:rFonts w:ascii="Calibri" w:eastAsia="Times New Roman" w:hAnsi="Calibri" w:cs="Calibri"/>
                <w:b/>
                <w:bCs/>
                <w:color w:val="FFFFFF"/>
                <w:lang w:val="en-US" w:eastAsia="sv-SE"/>
              </w:rPr>
              <w:t> </w:t>
            </w:r>
          </w:p>
        </w:tc>
        <w:tc>
          <w:tcPr>
            <w:tcW w:w="2320" w:type="dxa"/>
            <w:gridSpan w:val="4"/>
            <w:tcBorders>
              <w:top w:val="single" w:sz="4" w:space="0" w:color="auto"/>
              <w:left w:val="single" w:sz="4" w:space="0" w:color="auto"/>
              <w:bottom w:val="nil"/>
              <w:right w:val="single" w:sz="4" w:space="0" w:color="000000"/>
            </w:tcBorders>
            <w:shd w:val="clear" w:color="000000" w:fill="595959"/>
            <w:noWrap/>
            <w:vAlign w:val="bottom"/>
            <w:hideMark/>
          </w:tcPr>
          <w:p w14:paraId="14DA5F5D"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4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18893D1E"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8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63FA6291"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16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17A43722"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32 PUSCH rep.</w:t>
            </w:r>
          </w:p>
        </w:tc>
      </w:tr>
      <w:tr w:rsidR="00903F44" w:rsidRPr="00903F44" w14:paraId="1619B8AC" w14:textId="77777777" w:rsidTr="00903F44">
        <w:trPr>
          <w:trHeight w:val="300"/>
        </w:trPr>
        <w:tc>
          <w:tcPr>
            <w:tcW w:w="960" w:type="dxa"/>
            <w:tcBorders>
              <w:top w:val="nil"/>
              <w:left w:val="single" w:sz="4" w:space="0" w:color="auto"/>
              <w:bottom w:val="nil"/>
              <w:right w:val="nil"/>
            </w:tcBorders>
            <w:shd w:val="clear" w:color="000000" w:fill="595959"/>
            <w:noWrap/>
            <w:vAlign w:val="bottom"/>
            <w:hideMark/>
          </w:tcPr>
          <w:p w14:paraId="6E3217F0" w14:textId="77777777" w:rsidR="00903F44" w:rsidRPr="00903F44" w:rsidRDefault="00903F44" w:rsidP="00903F44">
            <w:pPr>
              <w:spacing w:after="0" w:line="240" w:lineRule="auto"/>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 </w:t>
            </w:r>
          </w:p>
        </w:tc>
        <w:tc>
          <w:tcPr>
            <w:tcW w:w="2320" w:type="dxa"/>
            <w:gridSpan w:val="4"/>
            <w:tcBorders>
              <w:top w:val="nil"/>
              <w:left w:val="single" w:sz="4" w:space="0" w:color="auto"/>
              <w:bottom w:val="nil"/>
              <w:right w:val="single" w:sz="4" w:space="0" w:color="000000"/>
            </w:tcBorders>
            <w:shd w:val="clear" w:color="000000" w:fill="808080"/>
            <w:noWrap/>
            <w:vAlign w:val="bottom"/>
            <w:hideMark/>
          </w:tcPr>
          <w:p w14:paraId="12CD4B80"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68D623F9"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7A2EE351"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73D38EC9" w14:textId="77777777" w:rsidR="00903F44" w:rsidRPr="00903F44" w:rsidRDefault="00903F44" w:rsidP="00903F44">
            <w:pPr>
              <w:spacing w:after="0" w:line="240" w:lineRule="auto"/>
              <w:jc w:val="center"/>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Nrof TBs</w:t>
            </w:r>
          </w:p>
        </w:tc>
      </w:tr>
      <w:tr w:rsidR="00903F44" w:rsidRPr="00903F44" w14:paraId="716D697F" w14:textId="77777777" w:rsidTr="00903F44">
        <w:trPr>
          <w:trHeight w:val="300"/>
        </w:trPr>
        <w:tc>
          <w:tcPr>
            <w:tcW w:w="960" w:type="dxa"/>
            <w:tcBorders>
              <w:top w:val="nil"/>
              <w:left w:val="single" w:sz="4" w:space="0" w:color="auto"/>
              <w:bottom w:val="nil"/>
              <w:right w:val="nil"/>
            </w:tcBorders>
            <w:shd w:val="clear" w:color="000000" w:fill="595959"/>
            <w:noWrap/>
            <w:vAlign w:val="bottom"/>
            <w:hideMark/>
          </w:tcPr>
          <w:p w14:paraId="73CE5781" w14:textId="77777777" w:rsidR="00903F44" w:rsidRPr="00903F44" w:rsidRDefault="00903F44" w:rsidP="00903F44">
            <w:pPr>
              <w:spacing w:after="0" w:line="240" w:lineRule="auto"/>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MPDCCH</w:t>
            </w:r>
          </w:p>
        </w:tc>
        <w:tc>
          <w:tcPr>
            <w:tcW w:w="580" w:type="dxa"/>
            <w:tcBorders>
              <w:top w:val="single" w:sz="4" w:space="0" w:color="auto"/>
              <w:left w:val="single" w:sz="4" w:space="0" w:color="auto"/>
              <w:bottom w:val="single" w:sz="4" w:space="0" w:color="auto"/>
              <w:right w:val="nil"/>
            </w:tcBorders>
            <w:shd w:val="clear" w:color="000000" w:fill="808080"/>
            <w:noWrap/>
            <w:vAlign w:val="bottom"/>
            <w:hideMark/>
          </w:tcPr>
          <w:p w14:paraId="4DFFD278"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1</w:t>
            </w:r>
          </w:p>
        </w:tc>
        <w:tc>
          <w:tcPr>
            <w:tcW w:w="580" w:type="dxa"/>
            <w:tcBorders>
              <w:top w:val="single" w:sz="4" w:space="0" w:color="auto"/>
              <w:left w:val="nil"/>
              <w:bottom w:val="single" w:sz="4" w:space="0" w:color="auto"/>
              <w:right w:val="nil"/>
            </w:tcBorders>
            <w:shd w:val="clear" w:color="000000" w:fill="808080"/>
            <w:noWrap/>
            <w:vAlign w:val="bottom"/>
            <w:hideMark/>
          </w:tcPr>
          <w:p w14:paraId="6A3A20EE"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2</w:t>
            </w:r>
          </w:p>
        </w:tc>
        <w:tc>
          <w:tcPr>
            <w:tcW w:w="580" w:type="dxa"/>
            <w:tcBorders>
              <w:top w:val="single" w:sz="4" w:space="0" w:color="auto"/>
              <w:left w:val="nil"/>
              <w:bottom w:val="single" w:sz="4" w:space="0" w:color="auto"/>
              <w:right w:val="nil"/>
            </w:tcBorders>
            <w:shd w:val="clear" w:color="000000" w:fill="808080"/>
            <w:noWrap/>
            <w:vAlign w:val="bottom"/>
            <w:hideMark/>
          </w:tcPr>
          <w:p w14:paraId="530E3469"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4</w:t>
            </w:r>
          </w:p>
        </w:tc>
        <w:tc>
          <w:tcPr>
            <w:tcW w:w="580" w:type="dxa"/>
            <w:tcBorders>
              <w:top w:val="single" w:sz="4" w:space="0" w:color="auto"/>
              <w:left w:val="nil"/>
              <w:bottom w:val="single" w:sz="4" w:space="0" w:color="auto"/>
              <w:right w:val="single" w:sz="4" w:space="0" w:color="auto"/>
            </w:tcBorders>
            <w:shd w:val="clear" w:color="000000" w:fill="808080"/>
            <w:noWrap/>
            <w:vAlign w:val="bottom"/>
            <w:hideMark/>
          </w:tcPr>
          <w:p w14:paraId="62FD73D6"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8</w:t>
            </w:r>
          </w:p>
        </w:tc>
        <w:tc>
          <w:tcPr>
            <w:tcW w:w="580" w:type="dxa"/>
            <w:tcBorders>
              <w:top w:val="nil"/>
              <w:left w:val="nil"/>
              <w:bottom w:val="single" w:sz="4" w:space="0" w:color="auto"/>
              <w:right w:val="nil"/>
            </w:tcBorders>
            <w:shd w:val="clear" w:color="000000" w:fill="808080"/>
            <w:noWrap/>
            <w:vAlign w:val="bottom"/>
            <w:hideMark/>
          </w:tcPr>
          <w:p w14:paraId="3051D4D3"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1</w:t>
            </w:r>
          </w:p>
        </w:tc>
        <w:tc>
          <w:tcPr>
            <w:tcW w:w="580" w:type="dxa"/>
            <w:tcBorders>
              <w:top w:val="nil"/>
              <w:left w:val="nil"/>
              <w:bottom w:val="single" w:sz="4" w:space="0" w:color="auto"/>
              <w:right w:val="nil"/>
            </w:tcBorders>
            <w:shd w:val="clear" w:color="000000" w:fill="808080"/>
            <w:noWrap/>
            <w:vAlign w:val="bottom"/>
            <w:hideMark/>
          </w:tcPr>
          <w:p w14:paraId="4E5E74B3"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2</w:t>
            </w:r>
          </w:p>
        </w:tc>
        <w:tc>
          <w:tcPr>
            <w:tcW w:w="580" w:type="dxa"/>
            <w:tcBorders>
              <w:top w:val="nil"/>
              <w:left w:val="nil"/>
              <w:bottom w:val="single" w:sz="4" w:space="0" w:color="auto"/>
              <w:right w:val="nil"/>
            </w:tcBorders>
            <w:shd w:val="clear" w:color="000000" w:fill="808080"/>
            <w:noWrap/>
            <w:vAlign w:val="bottom"/>
            <w:hideMark/>
          </w:tcPr>
          <w:p w14:paraId="18AFCCE6"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4</w:t>
            </w:r>
          </w:p>
        </w:tc>
        <w:tc>
          <w:tcPr>
            <w:tcW w:w="580" w:type="dxa"/>
            <w:tcBorders>
              <w:top w:val="nil"/>
              <w:left w:val="nil"/>
              <w:bottom w:val="single" w:sz="4" w:space="0" w:color="auto"/>
              <w:right w:val="single" w:sz="4" w:space="0" w:color="auto"/>
            </w:tcBorders>
            <w:shd w:val="clear" w:color="000000" w:fill="808080"/>
            <w:noWrap/>
            <w:vAlign w:val="bottom"/>
            <w:hideMark/>
          </w:tcPr>
          <w:p w14:paraId="2B544D2D"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8</w:t>
            </w:r>
          </w:p>
        </w:tc>
        <w:tc>
          <w:tcPr>
            <w:tcW w:w="580" w:type="dxa"/>
            <w:tcBorders>
              <w:top w:val="nil"/>
              <w:left w:val="nil"/>
              <w:bottom w:val="single" w:sz="4" w:space="0" w:color="auto"/>
              <w:right w:val="nil"/>
            </w:tcBorders>
            <w:shd w:val="clear" w:color="000000" w:fill="808080"/>
            <w:noWrap/>
            <w:vAlign w:val="bottom"/>
            <w:hideMark/>
          </w:tcPr>
          <w:p w14:paraId="5C2184F9"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1</w:t>
            </w:r>
          </w:p>
        </w:tc>
        <w:tc>
          <w:tcPr>
            <w:tcW w:w="580" w:type="dxa"/>
            <w:tcBorders>
              <w:top w:val="nil"/>
              <w:left w:val="nil"/>
              <w:bottom w:val="single" w:sz="4" w:space="0" w:color="auto"/>
              <w:right w:val="nil"/>
            </w:tcBorders>
            <w:shd w:val="clear" w:color="000000" w:fill="808080"/>
            <w:noWrap/>
            <w:vAlign w:val="bottom"/>
            <w:hideMark/>
          </w:tcPr>
          <w:p w14:paraId="0CF72531"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2</w:t>
            </w:r>
          </w:p>
        </w:tc>
        <w:tc>
          <w:tcPr>
            <w:tcW w:w="580" w:type="dxa"/>
            <w:tcBorders>
              <w:top w:val="nil"/>
              <w:left w:val="nil"/>
              <w:bottom w:val="single" w:sz="4" w:space="0" w:color="auto"/>
              <w:right w:val="nil"/>
            </w:tcBorders>
            <w:shd w:val="clear" w:color="000000" w:fill="808080"/>
            <w:noWrap/>
            <w:vAlign w:val="bottom"/>
            <w:hideMark/>
          </w:tcPr>
          <w:p w14:paraId="005A8F63"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4</w:t>
            </w:r>
          </w:p>
        </w:tc>
        <w:tc>
          <w:tcPr>
            <w:tcW w:w="580" w:type="dxa"/>
            <w:tcBorders>
              <w:top w:val="nil"/>
              <w:left w:val="nil"/>
              <w:bottom w:val="single" w:sz="4" w:space="0" w:color="auto"/>
              <w:right w:val="single" w:sz="4" w:space="0" w:color="auto"/>
            </w:tcBorders>
            <w:shd w:val="clear" w:color="000000" w:fill="808080"/>
            <w:noWrap/>
            <w:vAlign w:val="bottom"/>
            <w:hideMark/>
          </w:tcPr>
          <w:p w14:paraId="2D3B807D"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8</w:t>
            </w:r>
          </w:p>
        </w:tc>
        <w:tc>
          <w:tcPr>
            <w:tcW w:w="580" w:type="dxa"/>
            <w:tcBorders>
              <w:top w:val="nil"/>
              <w:left w:val="nil"/>
              <w:bottom w:val="single" w:sz="4" w:space="0" w:color="auto"/>
              <w:right w:val="nil"/>
            </w:tcBorders>
            <w:shd w:val="clear" w:color="000000" w:fill="808080"/>
            <w:noWrap/>
            <w:vAlign w:val="bottom"/>
            <w:hideMark/>
          </w:tcPr>
          <w:p w14:paraId="5EBD05BD"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1</w:t>
            </w:r>
          </w:p>
        </w:tc>
        <w:tc>
          <w:tcPr>
            <w:tcW w:w="580" w:type="dxa"/>
            <w:tcBorders>
              <w:top w:val="nil"/>
              <w:left w:val="nil"/>
              <w:bottom w:val="single" w:sz="4" w:space="0" w:color="auto"/>
              <w:right w:val="nil"/>
            </w:tcBorders>
            <w:shd w:val="clear" w:color="000000" w:fill="808080"/>
            <w:noWrap/>
            <w:vAlign w:val="bottom"/>
            <w:hideMark/>
          </w:tcPr>
          <w:p w14:paraId="14921315"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2</w:t>
            </w:r>
          </w:p>
        </w:tc>
        <w:tc>
          <w:tcPr>
            <w:tcW w:w="580" w:type="dxa"/>
            <w:tcBorders>
              <w:top w:val="nil"/>
              <w:left w:val="nil"/>
              <w:bottom w:val="single" w:sz="4" w:space="0" w:color="auto"/>
              <w:right w:val="nil"/>
            </w:tcBorders>
            <w:shd w:val="clear" w:color="000000" w:fill="808080"/>
            <w:noWrap/>
            <w:vAlign w:val="bottom"/>
            <w:hideMark/>
          </w:tcPr>
          <w:p w14:paraId="42F2C3ED"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4</w:t>
            </w:r>
          </w:p>
        </w:tc>
        <w:tc>
          <w:tcPr>
            <w:tcW w:w="580" w:type="dxa"/>
            <w:tcBorders>
              <w:top w:val="nil"/>
              <w:left w:val="nil"/>
              <w:bottom w:val="single" w:sz="4" w:space="0" w:color="auto"/>
              <w:right w:val="single" w:sz="4" w:space="0" w:color="auto"/>
            </w:tcBorders>
            <w:shd w:val="clear" w:color="000000" w:fill="808080"/>
            <w:noWrap/>
            <w:vAlign w:val="bottom"/>
            <w:hideMark/>
          </w:tcPr>
          <w:p w14:paraId="765336E2" w14:textId="77777777" w:rsidR="00903F44" w:rsidRPr="00903F44" w:rsidRDefault="00903F44" w:rsidP="00903F44">
            <w:pPr>
              <w:spacing w:after="0" w:line="240" w:lineRule="auto"/>
              <w:jc w:val="center"/>
              <w:rPr>
                <w:rFonts w:ascii="Calibri" w:eastAsia="Times New Roman" w:hAnsi="Calibri" w:cs="Calibri"/>
                <w:color w:val="FFFFFF"/>
                <w:lang w:eastAsia="sv-SE"/>
              </w:rPr>
            </w:pPr>
            <w:r w:rsidRPr="00903F44">
              <w:rPr>
                <w:rFonts w:ascii="Calibri" w:eastAsia="Times New Roman" w:hAnsi="Calibri" w:cs="Calibri"/>
                <w:color w:val="FFFFFF"/>
                <w:lang w:eastAsia="sv-SE"/>
              </w:rPr>
              <w:t>8</w:t>
            </w:r>
          </w:p>
        </w:tc>
      </w:tr>
      <w:tr w:rsidR="00903F44" w:rsidRPr="00903F44" w14:paraId="6F2533C9" w14:textId="77777777" w:rsidTr="00903F44">
        <w:trPr>
          <w:trHeight w:val="300"/>
        </w:trPr>
        <w:tc>
          <w:tcPr>
            <w:tcW w:w="960" w:type="dxa"/>
            <w:tcBorders>
              <w:top w:val="nil"/>
              <w:left w:val="single" w:sz="4" w:space="0" w:color="auto"/>
              <w:bottom w:val="nil"/>
              <w:right w:val="nil"/>
            </w:tcBorders>
            <w:shd w:val="clear" w:color="000000" w:fill="595959"/>
            <w:noWrap/>
            <w:vAlign w:val="bottom"/>
            <w:hideMark/>
          </w:tcPr>
          <w:p w14:paraId="0D750E79" w14:textId="77777777" w:rsidR="00903F44" w:rsidRPr="00903F44" w:rsidRDefault="00903F44" w:rsidP="00903F44">
            <w:pPr>
              <w:spacing w:after="0" w:line="240" w:lineRule="auto"/>
              <w:jc w:val="right"/>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4</w:t>
            </w:r>
          </w:p>
        </w:tc>
        <w:tc>
          <w:tcPr>
            <w:tcW w:w="580" w:type="dxa"/>
            <w:tcBorders>
              <w:top w:val="nil"/>
              <w:left w:val="single" w:sz="4" w:space="0" w:color="auto"/>
              <w:bottom w:val="nil"/>
              <w:right w:val="nil"/>
            </w:tcBorders>
            <w:shd w:val="clear" w:color="000000" w:fill="EDEDED"/>
            <w:noWrap/>
            <w:vAlign w:val="bottom"/>
            <w:hideMark/>
          </w:tcPr>
          <w:p w14:paraId="5EB8E9A2"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33%</w:t>
            </w:r>
          </w:p>
        </w:tc>
        <w:tc>
          <w:tcPr>
            <w:tcW w:w="580" w:type="dxa"/>
            <w:tcBorders>
              <w:top w:val="nil"/>
              <w:left w:val="nil"/>
              <w:bottom w:val="nil"/>
              <w:right w:val="nil"/>
            </w:tcBorders>
            <w:shd w:val="clear" w:color="000000" w:fill="FCE4D6"/>
            <w:noWrap/>
            <w:vAlign w:val="bottom"/>
            <w:hideMark/>
          </w:tcPr>
          <w:p w14:paraId="76E7D619"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50%</w:t>
            </w:r>
          </w:p>
        </w:tc>
        <w:tc>
          <w:tcPr>
            <w:tcW w:w="580" w:type="dxa"/>
            <w:tcBorders>
              <w:top w:val="nil"/>
              <w:left w:val="nil"/>
              <w:bottom w:val="nil"/>
              <w:right w:val="nil"/>
            </w:tcBorders>
            <w:shd w:val="clear" w:color="000000" w:fill="FCE4D6"/>
            <w:noWrap/>
            <w:vAlign w:val="bottom"/>
            <w:hideMark/>
          </w:tcPr>
          <w:p w14:paraId="370D6CA7"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67%</w:t>
            </w:r>
          </w:p>
        </w:tc>
        <w:tc>
          <w:tcPr>
            <w:tcW w:w="580" w:type="dxa"/>
            <w:tcBorders>
              <w:top w:val="nil"/>
              <w:left w:val="nil"/>
              <w:bottom w:val="nil"/>
              <w:right w:val="single" w:sz="4" w:space="0" w:color="auto"/>
            </w:tcBorders>
            <w:shd w:val="clear" w:color="000000" w:fill="FCE4D6"/>
            <w:noWrap/>
            <w:vAlign w:val="bottom"/>
            <w:hideMark/>
          </w:tcPr>
          <w:p w14:paraId="190E07FB"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80%</w:t>
            </w:r>
          </w:p>
        </w:tc>
        <w:tc>
          <w:tcPr>
            <w:tcW w:w="580" w:type="dxa"/>
            <w:tcBorders>
              <w:top w:val="nil"/>
              <w:left w:val="nil"/>
              <w:bottom w:val="nil"/>
              <w:right w:val="nil"/>
            </w:tcBorders>
            <w:shd w:val="clear" w:color="000000" w:fill="EDEDED"/>
            <w:noWrap/>
            <w:vAlign w:val="bottom"/>
            <w:hideMark/>
          </w:tcPr>
          <w:p w14:paraId="4A54DC55"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50%</w:t>
            </w:r>
          </w:p>
        </w:tc>
        <w:tc>
          <w:tcPr>
            <w:tcW w:w="580" w:type="dxa"/>
            <w:tcBorders>
              <w:top w:val="nil"/>
              <w:left w:val="nil"/>
              <w:bottom w:val="nil"/>
              <w:right w:val="nil"/>
            </w:tcBorders>
            <w:shd w:val="clear" w:color="000000" w:fill="FCE4D6"/>
            <w:noWrap/>
            <w:vAlign w:val="bottom"/>
            <w:hideMark/>
          </w:tcPr>
          <w:p w14:paraId="349592E7"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67%</w:t>
            </w:r>
          </w:p>
        </w:tc>
        <w:tc>
          <w:tcPr>
            <w:tcW w:w="580" w:type="dxa"/>
            <w:tcBorders>
              <w:top w:val="nil"/>
              <w:left w:val="nil"/>
              <w:bottom w:val="nil"/>
              <w:right w:val="nil"/>
            </w:tcBorders>
            <w:shd w:val="clear" w:color="000000" w:fill="FCE4D6"/>
            <w:noWrap/>
            <w:vAlign w:val="bottom"/>
            <w:hideMark/>
          </w:tcPr>
          <w:p w14:paraId="69318294"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80%</w:t>
            </w:r>
          </w:p>
        </w:tc>
        <w:tc>
          <w:tcPr>
            <w:tcW w:w="580" w:type="dxa"/>
            <w:tcBorders>
              <w:top w:val="nil"/>
              <w:left w:val="nil"/>
              <w:bottom w:val="nil"/>
              <w:right w:val="single" w:sz="4" w:space="0" w:color="auto"/>
            </w:tcBorders>
            <w:shd w:val="clear" w:color="000000" w:fill="FCE4D6"/>
            <w:noWrap/>
            <w:vAlign w:val="bottom"/>
            <w:hideMark/>
          </w:tcPr>
          <w:p w14:paraId="2B6B5FBA"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89%</w:t>
            </w:r>
          </w:p>
        </w:tc>
        <w:tc>
          <w:tcPr>
            <w:tcW w:w="580" w:type="dxa"/>
            <w:tcBorders>
              <w:top w:val="nil"/>
              <w:left w:val="nil"/>
              <w:bottom w:val="nil"/>
              <w:right w:val="nil"/>
            </w:tcBorders>
            <w:shd w:val="clear" w:color="000000" w:fill="EDEDED"/>
            <w:noWrap/>
            <w:vAlign w:val="bottom"/>
            <w:hideMark/>
          </w:tcPr>
          <w:p w14:paraId="514434FE"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67%</w:t>
            </w:r>
          </w:p>
        </w:tc>
        <w:tc>
          <w:tcPr>
            <w:tcW w:w="580" w:type="dxa"/>
            <w:tcBorders>
              <w:top w:val="nil"/>
              <w:left w:val="nil"/>
              <w:bottom w:val="nil"/>
              <w:right w:val="nil"/>
            </w:tcBorders>
            <w:shd w:val="clear" w:color="000000" w:fill="FCE4D6"/>
            <w:noWrap/>
            <w:vAlign w:val="bottom"/>
            <w:hideMark/>
          </w:tcPr>
          <w:p w14:paraId="40B1C69F"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80%</w:t>
            </w:r>
          </w:p>
        </w:tc>
        <w:tc>
          <w:tcPr>
            <w:tcW w:w="580" w:type="dxa"/>
            <w:tcBorders>
              <w:top w:val="nil"/>
              <w:left w:val="nil"/>
              <w:bottom w:val="nil"/>
              <w:right w:val="nil"/>
            </w:tcBorders>
            <w:shd w:val="clear" w:color="000000" w:fill="FCE4D6"/>
            <w:noWrap/>
            <w:vAlign w:val="bottom"/>
            <w:hideMark/>
          </w:tcPr>
          <w:p w14:paraId="7F1D8D2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89%</w:t>
            </w:r>
          </w:p>
        </w:tc>
        <w:tc>
          <w:tcPr>
            <w:tcW w:w="580" w:type="dxa"/>
            <w:tcBorders>
              <w:top w:val="nil"/>
              <w:left w:val="nil"/>
              <w:bottom w:val="nil"/>
              <w:right w:val="single" w:sz="4" w:space="0" w:color="auto"/>
            </w:tcBorders>
            <w:shd w:val="clear" w:color="000000" w:fill="FCE4D6"/>
            <w:noWrap/>
            <w:vAlign w:val="bottom"/>
            <w:hideMark/>
          </w:tcPr>
          <w:p w14:paraId="2BBC6D94"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94%</w:t>
            </w:r>
          </w:p>
        </w:tc>
        <w:tc>
          <w:tcPr>
            <w:tcW w:w="580" w:type="dxa"/>
            <w:tcBorders>
              <w:top w:val="nil"/>
              <w:left w:val="nil"/>
              <w:bottom w:val="nil"/>
              <w:right w:val="nil"/>
            </w:tcBorders>
            <w:shd w:val="clear" w:color="000000" w:fill="EDEDED"/>
            <w:noWrap/>
            <w:vAlign w:val="bottom"/>
            <w:hideMark/>
          </w:tcPr>
          <w:p w14:paraId="76C495F6"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80%</w:t>
            </w:r>
          </w:p>
        </w:tc>
        <w:tc>
          <w:tcPr>
            <w:tcW w:w="580" w:type="dxa"/>
            <w:tcBorders>
              <w:top w:val="nil"/>
              <w:left w:val="nil"/>
              <w:bottom w:val="nil"/>
              <w:right w:val="nil"/>
            </w:tcBorders>
            <w:shd w:val="clear" w:color="000000" w:fill="FCE4D6"/>
            <w:noWrap/>
            <w:vAlign w:val="bottom"/>
            <w:hideMark/>
          </w:tcPr>
          <w:p w14:paraId="6EB9FE58"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89%</w:t>
            </w:r>
          </w:p>
        </w:tc>
        <w:tc>
          <w:tcPr>
            <w:tcW w:w="580" w:type="dxa"/>
            <w:tcBorders>
              <w:top w:val="nil"/>
              <w:left w:val="nil"/>
              <w:bottom w:val="nil"/>
              <w:right w:val="nil"/>
            </w:tcBorders>
            <w:shd w:val="clear" w:color="000000" w:fill="FCE4D6"/>
            <w:noWrap/>
            <w:vAlign w:val="bottom"/>
            <w:hideMark/>
          </w:tcPr>
          <w:p w14:paraId="705F5919"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94%</w:t>
            </w:r>
          </w:p>
        </w:tc>
        <w:tc>
          <w:tcPr>
            <w:tcW w:w="580" w:type="dxa"/>
            <w:tcBorders>
              <w:top w:val="nil"/>
              <w:left w:val="nil"/>
              <w:bottom w:val="nil"/>
              <w:right w:val="single" w:sz="4" w:space="0" w:color="auto"/>
            </w:tcBorders>
            <w:shd w:val="clear" w:color="000000" w:fill="FCE4D6"/>
            <w:noWrap/>
            <w:vAlign w:val="bottom"/>
            <w:hideMark/>
          </w:tcPr>
          <w:p w14:paraId="14E9F9EA"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97%</w:t>
            </w:r>
          </w:p>
        </w:tc>
      </w:tr>
      <w:tr w:rsidR="00903F44" w:rsidRPr="00903F44" w14:paraId="13F8144F" w14:textId="77777777" w:rsidTr="00903F44">
        <w:trPr>
          <w:trHeight w:val="300"/>
        </w:trPr>
        <w:tc>
          <w:tcPr>
            <w:tcW w:w="960" w:type="dxa"/>
            <w:tcBorders>
              <w:top w:val="nil"/>
              <w:left w:val="single" w:sz="4" w:space="0" w:color="auto"/>
              <w:bottom w:val="nil"/>
              <w:right w:val="nil"/>
            </w:tcBorders>
            <w:shd w:val="clear" w:color="000000" w:fill="595959"/>
            <w:noWrap/>
            <w:vAlign w:val="bottom"/>
            <w:hideMark/>
          </w:tcPr>
          <w:p w14:paraId="0140A58D" w14:textId="77777777" w:rsidR="00903F44" w:rsidRPr="00903F44" w:rsidRDefault="00903F44" w:rsidP="00903F44">
            <w:pPr>
              <w:spacing w:after="0" w:line="240" w:lineRule="auto"/>
              <w:jc w:val="right"/>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8</w:t>
            </w:r>
          </w:p>
        </w:tc>
        <w:tc>
          <w:tcPr>
            <w:tcW w:w="580" w:type="dxa"/>
            <w:tcBorders>
              <w:top w:val="nil"/>
              <w:left w:val="single" w:sz="4" w:space="0" w:color="auto"/>
              <w:bottom w:val="nil"/>
              <w:right w:val="nil"/>
            </w:tcBorders>
            <w:shd w:val="clear" w:color="000000" w:fill="EDEDED"/>
            <w:noWrap/>
            <w:vAlign w:val="bottom"/>
            <w:hideMark/>
          </w:tcPr>
          <w:p w14:paraId="281BCBB2"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25%</w:t>
            </w:r>
          </w:p>
        </w:tc>
        <w:tc>
          <w:tcPr>
            <w:tcW w:w="580" w:type="dxa"/>
            <w:tcBorders>
              <w:top w:val="nil"/>
              <w:left w:val="nil"/>
              <w:bottom w:val="nil"/>
              <w:right w:val="nil"/>
            </w:tcBorders>
            <w:shd w:val="clear" w:color="000000" w:fill="FCE4D6"/>
            <w:noWrap/>
            <w:vAlign w:val="bottom"/>
            <w:hideMark/>
          </w:tcPr>
          <w:p w14:paraId="4D622B5B"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40%</w:t>
            </w:r>
          </w:p>
        </w:tc>
        <w:tc>
          <w:tcPr>
            <w:tcW w:w="580" w:type="dxa"/>
            <w:tcBorders>
              <w:top w:val="nil"/>
              <w:left w:val="nil"/>
              <w:bottom w:val="nil"/>
              <w:right w:val="nil"/>
            </w:tcBorders>
            <w:shd w:val="clear" w:color="000000" w:fill="FCE4D6"/>
            <w:noWrap/>
            <w:vAlign w:val="bottom"/>
            <w:hideMark/>
          </w:tcPr>
          <w:p w14:paraId="4A26102C"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57%</w:t>
            </w:r>
          </w:p>
        </w:tc>
        <w:tc>
          <w:tcPr>
            <w:tcW w:w="580" w:type="dxa"/>
            <w:tcBorders>
              <w:top w:val="nil"/>
              <w:left w:val="nil"/>
              <w:bottom w:val="nil"/>
              <w:right w:val="single" w:sz="4" w:space="0" w:color="auto"/>
            </w:tcBorders>
            <w:shd w:val="clear" w:color="000000" w:fill="FCE4D6"/>
            <w:noWrap/>
            <w:vAlign w:val="bottom"/>
            <w:hideMark/>
          </w:tcPr>
          <w:p w14:paraId="31473C81"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73%</w:t>
            </w:r>
          </w:p>
        </w:tc>
        <w:tc>
          <w:tcPr>
            <w:tcW w:w="580" w:type="dxa"/>
            <w:tcBorders>
              <w:top w:val="nil"/>
              <w:left w:val="nil"/>
              <w:bottom w:val="nil"/>
              <w:right w:val="nil"/>
            </w:tcBorders>
            <w:shd w:val="clear" w:color="000000" w:fill="EDEDED"/>
            <w:noWrap/>
            <w:vAlign w:val="bottom"/>
            <w:hideMark/>
          </w:tcPr>
          <w:p w14:paraId="14E8F682"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40%</w:t>
            </w:r>
          </w:p>
        </w:tc>
        <w:tc>
          <w:tcPr>
            <w:tcW w:w="580" w:type="dxa"/>
            <w:tcBorders>
              <w:top w:val="nil"/>
              <w:left w:val="nil"/>
              <w:bottom w:val="nil"/>
              <w:right w:val="nil"/>
            </w:tcBorders>
            <w:shd w:val="clear" w:color="000000" w:fill="FCE4D6"/>
            <w:noWrap/>
            <w:vAlign w:val="bottom"/>
            <w:hideMark/>
          </w:tcPr>
          <w:p w14:paraId="4845A44E"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57%</w:t>
            </w:r>
          </w:p>
        </w:tc>
        <w:tc>
          <w:tcPr>
            <w:tcW w:w="580" w:type="dxa"/>
            <w:tcBorders>
              <w:top w:val="nil"/>
              <w:left w:val="nil"/>
              <w:bottom w:val="nil"/>
              <w:right w:val="nil"/>
            </w:tcBorders>
            <w:shd w:val="clear" w:color="000000" w:fill="FCE4D6"/>
            <w:noWrap/>
            <w:vAlign w:val="bottom"/>
            <w:hideMark/>
          </w:tcPr>
          <w:p w14:paraId="32BD1E5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73%</w:t>
            </w:r>
          </w:p>
        </w:tc>
        <w:tc>
          <w:tcPr>
            <w:tcW w:w="580" w:type="dxa"/>
            <w:tcBorders>
              <w:top w:val="nil"/>
              <w:left w:val="nil"/>
              <w:bottom w:val="nil"/>
              <w:right w:val="single" w:sz="4" w:space="0" w:color="auto"/>
            </w:tcBorders>
            <w:shd w:val="clear" w:color="000000" w:fill="FCE4D6"/>
            <w:noWrap/>
            <w:vAlign w:val="bottom"/>
            <w:hideMark/>
          </w:tcPr>
          <w:p w14:paraId="1C4135C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84%</w:t>
            </w:r>
          </w:p>
        </w:tc>
        <w:tc>
          <w:tcPr>
            <w:tcW w:w="580" w:type="dxa"/>
            <w:tcBorders>
              <w:top w:val="nil"/>
              <w:left w:val="nil"/>
              <w:bottom w:val="nil"/>
              <w:right w:val="nil"/>
            </w:tcBorders>
            <w:shd w:val="clear" w:color="000000" w:fill="EDEDED"/>
            <w:noWrap/>
            <w:vAlign w:val="bottom"/>
            <w:hideMark/>
          </w:tcPr>
          <w:p w14:paraId="0CB84AFE"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57%</w:t>
            </w:r>
          </w:p>
        </w:tc>
        <w:tc>
          <w:tcPr>
            <w:tcW w:w="580" w:type="dxa"/>
            <w:tcBorders>
              <w:top w:val="nil"/>
              <w:left w:val="nil"/>
              <w:bottom w:val="nil"/>
              <w:right w:val="nil"/>
            </w:tcBorders>
            <w:shd w:val="clear" w:color="000000" w:fill="FCE4D6"/>
            <w:noWrap/>
            <w:vAlign w:val="bottom"/>
            <w:hideMark/>
          </w:tcPr>
          <w:p w14:paraId="15219AE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73%</w:t>
            </w:r>
          </w:p>
        </w:tc>
        <w:tc>
          <w:tcPr>
            <w:tcW w:w="580" w:type="dxa"/>
            <w:tcBorders>
              <w:top w:val="nil"/>
              <w:left w:val="nil"/>
              <w:bottom w:val="nil"/>
              <w:right w:val="nil"/>
            </w:tcBorders>
            <w:shd w:val="clear" w:color="000000" w:fill="FCE4D6"/>
            <w:noWrap/>
            <w:vAlign w:val="bottom"/>
            <w:hideMark/>
          </w:tcPr>
          <w:p w14:paraId="453FBB2D"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84%</w:t>
            </w:r>
          </w:p>
        </w:tc>
        <w:tc>
          <w:tcPr>
            <w:tcW w:w="580" w:type="dxa"/>
            <w:tcBorders>
              <w:top w:val="nil"/>
              <w:left w:val="nil"/>
              <w:bottom w:val="nil"/>
              <w:right w:val="single" w:sz="4" w:space="0" w:color="auto"/>
            </w:tcBorders>
            <w:shd w:val="clear" w:color="000000" w:fill="FCE4D6"/>
            <w:noWrap/>
            <w:vAlign w:val="bottom"/>
            <w:hideMark/>
          </w:tcPr>
          <w:p w14:paraId="38FC767A"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91%</w:t>
            </w:r>
          </w:p>
        </w:tc>
        <w:tc>
          <w:tcPr>
            <w:tcW w:w="580" w:type="dxa"/>
            <w:tcBorders>
              <w:top w:val="nil"/>
              <w:left w:val="nil"/>
              <w:bottom w:val="nil"/>
              <w:right w:val="nil"/>
            </w:tcBorders>
            <w:shd w:val="clear" w:color="000000" w:fill="EDEDED"/>
            <w:noWrap/>
            <w:vAlign w:val="bottom"/>
            <w:hideMark/>
          </w:tcPr>
          <w:p w14:paraId="485A0AF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73%</w:t>
            </w:r>
          </w:p>
        </w:tc>
        <w:tc>
          <w:tcPr>
            <w:tcW w:w="580" w:type="dxa"/>
            <w:tcBorders>
              <w:top w:val="nil"/>
              <w:left w:val="nil"/>
              <w:bottom w:val="nil"/>
              <w:right w:val="nil"/>
            </w:tcBorders>
            <w:shd w:val="clear" w:color="000000" w:fill="FCE4D6"/>
            <w:noWrap/>
            <w:vAlign w:val="bottom"/>
            <w:hideMark/>
          </w:tcPr>
          <w:p w14:paraId="4162E3F2"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84%</w:t>
            </w:r>
          </w:p>
        </w:tc>
        <w:tc>
          <w:tcPr>
            <w:tcW w:w="580" w:type="dxa"/>
            <w:tcBorders>
              <w:top w:val="nil"/>
              <w:left w:val="nil"/>
              <w:bottom w:val="nil"/>
              <w:right w:val="nil"/>
            </w:tcBorders>
            <w:shd w:val="clear" w:color="000000" w:fill="FCE4D6"/>
            <w:noWrap/>
            <w:vAlign w:val="bottom"/>
            <w:hideMark/>
          </w:tcPr>
          <w:p w14:paraId="09CF8253"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91%</w:t>
            </w:r>
          </w:p>
        </w:tc>
        <w:tc>
          <w:tcPr>
            <w:tcW w:w="580" w:type="dxa"/>
            <w:tcBorders>
              <w:top w:val="nil"/>
              <w:left w:val="nil"/>
              <w:bottom w:val="nil"/>
              <w:right w:val="single" w:sz="4" w:space="0" w:color="auto"/>
            </w:tcBorders>
            <w:shd w:val="clear" w:color="000000" w:fill="FCE4D6"/>
            <w:noWrap/>
            <w:vAlign w:val="bottom"/>
            <w:hideMark/>
          </w:tcPr>
          <w:p w14:paraId="78C76199"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96%</w:t>
            </w:r>
          </w:p>
        </w:tc>
      </w:tr>
      <w:tr w:rsidR="00903F44" w:rsidRPr="00903F44" w14:paraId="440EC46B" w14:textId="77777777" w:rsidTr="00903F44">
        <w:trPr>
          <w:trHeight w:val="300"/>
        </w:trPr>
        <w:tc>
          <w:tcPr>
            <w:tcW w:w="960" w:type="dxa"/>
            <w:tcBorders>
              <w:top w:val="nil"/>
              <w:left w:val="single" w:sz="4" w:space="0" w:color="auto"/>
              <w:bottom w:val="single" w:sz="4" w:space="0" w:color="auto"/>
              <w:right w:val="nil"/>
            </w:tcBorders>
            <w:shd w:val="clear" w:color="000000" w:fill="595959"/>
            <w:noWrap/>
            <w:vAlign w:val="bottom"/>
            <w:hideMark/>
          </w:tcPr>
          <w:p w14:paraId="2F2FD991" w14:textId="77777777" w:rsidR="00903F44" w:rsidRPr="00903F44" w:rsidRDefault="00903F44" w:rsidP="00903F44">
            <w:pPr>
              <w:spacing w:after="0" w:line="240" w:lineRule="auto"/>
              <w:jc w:val="right"/>
              <w:rPr>
                <w:rFonts w:ascii="Calibri" w:eastAsia="Times New Roman" w:hAnsi="Calibri" w:cs="Calibri"/>
                <w:b/>
                <w:bCs/>
                <w:color w:val="FFFFFF"/>
                <w:lang w:eastAsia="sv-SE"/>
              </w:rPr>
            </w:pPr>
            <w:r w:rsidRPr="00903F44">
              <w:rPr>
                <w:rFonts w:ascii="Calibri" w:eastAsia="Times New Roman" w:hAnsi="Calibri" w:cs="Calibri"/>
                <w:b/>
                <w:bCs/>
                <w:color w:val="FFFFFF"/>
                <w:lang w:eastAsia="sv-SE"/>
              </w:rPr>
              <w:t>16</w:t>
            </w:r>
          </w:p>
        </w:tc>
        <w:tc>
          <w:tcPr>
            <w:tcW w:w="580" w:type="dxa"/>
            <w:tcBorders>
              <w:top w:val="nil"/>
              <w:left w:val="single" w:sz="4" w:space="0" w:color="auto"/>
              <w:bottom w:val="single" w:sz="4" w:space="0" w:color="auto"/>
              <w:right w:val="nil"/>
            </w:tcBorders>
            <w:shd w:val="clear" w:color="000000" w:fill="EDEDED"/>
            <w:noWrap/>
            <w:vAlign w:val="bottom"/>
            <w:hideMark/>
          </w:tcPr>
          <w:p w14:paraId="59BA525C"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17%</w:t>
            </w:r>
          </w:p>
        </w:tc>
        <w:tc>
          <w:tcPr>
            <w:tcW w:w="580" w:type="dxa"/>
            <w:tcBorders>
              <w:top w:val="nil"/>
              <w:left w:val="nil"/>
              <w:bottom w:val="single" w:sz="4" w:space="0" w:color="auto"/>
              <w:right w:val="nil"/>
            </w:tcBorders>
            <w:shd w:val="clear" w:color="000000" w:fill="FCE4D6"/>
            <w:noWrap/>
            <w:vAlign w:val="bottom"/>
            <w:hideMark/>
          </w:tcPr>
          <w:p w14:paraId="5BF68696"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29%</w:t>
            </w:r>
          </w:p>
        </w:tc>
        <w:tc>
          <w:tcPr>
            <w:tcW w:w="580" w:type="dxa"/>
            <w:tcBorders>
              <w:top w:val="nil"/>
              <w:left w:val="nil"/>
              <w:bottom w:val="single" w:sz="4" w:space="0" w:color="auto"/>
              <w:right w:val="nil"/>
            </w:tcBorders>
            <w:shd w:val="clear" w:color="000000" w:fill="FCE4D6"/>
            <w:noWrap/>
            <w:vAlign w:val="bottom"/>
            <w:hideMark/>
          </w:tcPr>
          <w:p w14:paraId="1B96094D"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44%</w:t>
            </w:r>
          </w:p>
        </w:tc>
        <w:tc>
          <w:tcPr>
            <w:tcW w:w="580" w:type="dxa"/>
            <w:tcBorders>
              <w:top w:val="nil"/>
              <w:left w:val="nil"/>
              <w:bottom w:val="single" w:sz="4" w:space="0" w:color="auto"/>
              <w:right w:val="single" w:sz="4" w:space="0" w:color="auto"/>
            </w:tcBorders>
            <w:shd w:val="clear" w:color="000000" w:fill="FCE4D6"/>
            <w:noWrap/>
            <w:vAlign w:val="bottom"/>
            <w:hideMark/>
          </w:tcPr>
          <w:p w14:paraId="65EF9C85"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62%</w:t>
            </w:r>
          </w:p>
        </w:tc>
        <w:tc>
          <w:tcPr>
            <w:tcW w:w="580" w:type="dxa"/>
            <w:tcBorders>
              <w:top w:val="nil"/>
              <w:left w:val="nil"/>
              <w:bottom w:val="single" w:sz="4" w:space="0" w:color="auto"/>
              <w:right w:val="nil"/>
            </w:tcBorders>
            <w:shd w:val="clear" w:color="000000" w:fill="EDEDED"/>
            <w:noWrap/>
            <w:vAlign w:val="bottom"/>
            <w:hideMark/>
          </w:tcPr>
          <w:p w14:paraId="34549A72"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29%</w:t>
            </w:r>
          </w:p>
        </w:tc>
        <w:tc>
          <w:tcPr>
            <w:tcW w:w="580" w:type="dxa"/>
            <w:tcBorders>
              <w:top w:val="nil"/>
              <w:left w:val="nil"/>
              <w:bottom w:val="single" w:sz="4" w:space="0" w:color="auto"/>
              <w:right w:val="nil"/>
            </w:tcBorders>
            <w:shd w:val="clear" w:color="000000" w:fill="FCE4D6"/>
            <w:noWrap/>
            <w:vAlign w:val="bottom"/>
            <w:hideMark/>
          </w:tcPr>
          <w:p w14:paraId="2CB5D21E"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44%</w:t>
            </w:r>
          </w:p>
        </w:tc>
        <w:tc>
          <w:tcPr>
            <w:tcW w:w="580" w:type="dxa"/>
            <w:tcBorders>
              <w:top w:val="nil"/>
              <w:left w:val="nil"/>
              <w:bottom w:val="single" w:sz="4" w:space="0" w:color="auto"/>
              <w:right w:val="nil"/>
            </w:tcBorders>
            <w:shd w:val="clear" w:color="000000" w:fill="FCE4D6"/>
            <w:noWrap/>
            <w:vAlign w:val="bottom"/>
            <w:hideMark/>
          </w:tcPr>
          <w:p w14:paraId="564AA668"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62%</w:t>
            </w:r>
          </w:p>
        </w:tc>
        <w:tc>
          <w:tcPr>
            <w:tcW w:w="580" w:type="dxa"/>
            <w:tcBorders>
              <w:top w:val="nil"/>
              <w:left w:val="nil"/>
              <w:bottom w:val="single" w:sz="4" w:space="0" w:color="auto"/>
              <w:right w:val="single" w:sz="4" w:space="0" w:color="auto"/>
            </w:tcBorders>
            <w:shd w:val="clear" w:color="000000" w:fill="FCE4D6"/>
            <w:noWrap/>
            <w:vAlign w:val="bottom"/>
            <w:hideMark/>
          </w:tcPr>
          <w:p w14:paraId="08DED800"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76%</w:t>
            </w:r>
          </w:p>
        </w:tc>
        <w:tc>
          <w:tcPr>
            <w:tcW w:w="580" w:type="dxa"/>
            <w:tcBorders>
              <w:top w:val="nil"/>
              <w:left w:val="nil"/>
              <w:bottom w:val="single" w:sz="4" w:space="0" w:color="auto"/>
              <w:right w:val="nil"/>
            </w:tcBorders>
            <w:shd w:val="clear" w:color="000000" w:fill="EDEDED"/>
            <w:noWrap/>
            <w:vAlign w:val="bottom"/>
            <w:hideMark/>
          </w:tcPr>
          <w:p w14:paraId="681120E9"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44%</w:t>
            </w:r>
          </w:p>
        </w:tc>
        <w:tc>
          <w:tcPr>
            <w:tcW w:w="580" w:type="dxa"/>
            <w:tcBorders>
              <w:top w:val="nil"/>
              <w:left w:val="nil"/>
              <w:bottom w:val="single" w:sz="4" w:space="0" w:color="auto"/>
              <w:right w:val="nil"/>
            </w:tcBorders>
            <w:shd w:val="clear" w:color="000000" w:fill="FCE4D6"/>
            <w:noWrap/>
            <w:vAlign w:val="bottom"/>
            <w:hideMark/>
          </w:tcPr>
          <w:p w14:paraId="74286B39"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62%</w:t>
            </w:r>
          </w:p>
        </w:tc>
        <w:tc>
          <w:tcPr>
            <w:tcW w:w="580" w:type="dxa"/>
            <w:tcBorders>
              <w:top w:val="nil"/>
              <w:left w:val="nil"/>
              <w:bottom w:val="single" w:sz="4" w:space="0" w:color="auto"/>
              <w:right w:val="nil"/>
            </w:tcBorders>
            <w:shd w:val="clear" w:color="000000" w:fill="FCE4D6"/>
            <w:noWrap/>
            <w:vAlign w:val="bottom"/>
            <w:hideMark/>
          </w:tcPr>
          <w:p w14:paraId="4DA66F14"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76%</w:t>
            </w:r>
          </w:p>
        </w:tc>
        <w:tc>
          <w:tcPr>
            <w:tcW w:w="580" w:type="dxa"/>
            <w:tcBorders>
              <w:top w:val="nil"/>
              <w:left w:val="nil"/>
              <w:bottom w:val="single" w:sz="4" w:space="0" w:color="auto"/>
              <w:right w:val="single" w:sz="4" w:space="0" w:color="auto"/>
            </w:tcBorders>
            <w:shd w:val="clear" w:color="000000" w:fill="FCE4D6"/>
            <w:noWrap/>
            <w:vAlign w:val="bottom"/>
            <w:hideMark/>
          </w:tcPr>
          <w:p w14:paraId="05003866"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86%</w:t>
            </w:r>
          </w:p>
        </w:tc>
        <w:tc>
          <w:tcPr>
            <w:tcW w:w="580" w:type="dxa"/>
            <w:tcBorders>
              <w:top w:val="nil"/>
              <w:left w:val="nil"/>
              <w:bottom w:val="single" w:sz="4" w:space="0" w:color="auto"/>
              <w:right w:val="nil"/>
            </w:tcBorders>
            <w:shd w:val="clear" w:color="000000" w:fill="EDEDED"/>
            <w:noWrap/>
            <w:vAlign w:val="bottom"/>
            <w:hideMark/>
          </w:tcPr>
          <w:p w14:paraId="74804445"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62%</w:t>
            </w:r>
          </w:p>
        </w:tc>
        <w:tc>
          <w:tcPr>
            <w:tcW w:w="580" w:type="dxa"/>
            <w:tcBorders>
              <w:top w:val="nil"/>
              <w:left w:val="nil"/>
              <w:bottom w:val="single" w:sz="4" w:space="0" w:color="auto"/>
              <w:right w:val="nil"/>
            </w:tcBorders>
            <w:shd w:val="clear" w:color="000000" w:fill="FCE4D6"/>
            <w:noWrap/>
            <w:vAlign w:val="bottom"/>
            <w:hideMark/>
          </w:tcPr>
          <w:p w14:paraId="77C7F324"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76%</w:t>
            </w:r>
          </w:p>
        </w:tc>
        <w:tc>
          <w:tcPr>
            <w:tcW w:w="580" w:type="dxa"/>
            <w:tcBorders>
              <w:top w:val="nil"/>
              <w:left w:val="nil"/>
              <w:bottom w:val="single" w:sz="4" w:space="0" w:color="auto"/>
              <w:right w:val="nil"/>
            </w:tcBorders>
            <w:shd w:val="clear" w:color="000000" w:fill="FCE4D6"/>
            <w:noWrap/>
            <w:vAlign w:val="bottom"/>
            <w:hideMark/>
          </w:tcPr>
          <w:p w14:paraId="4CC79175" w14:textId="77777777" w:rsidR="00903F44" w:rsidRPr="00903F44" w:rsidRDefault="00903F44" w:rsidP="00903F44">
            <w:pPr>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86%</w:t>
            </w:r>
          </w:p>
        </w:tc>
        <w:tc>
          <w:tcPr>
            <w:tcW w:w="580" w:type="dxa"/>
            <w:tcBorders>
              <w:top w:val="nil"/>
              <w:left w:val="nil"/>
              <w:bottom w:val="single" w:sz="4" w:space="0" w:color="auto"/>
              <w:right w:val="single" w:sz="4" w:space="0" w:color="auto"/>
            </w:tcBorders>
            <w:shd w:val="clear" w:color="000000" w:fill="FCE4D6"/>
            <w:noWrap/>
            <w:vAlign w:val="bottom"/>
            <w:hideMark/>
          </w:tcPr>
          <w:p w14:paraId="1F240634" w14:textId="77777777" w:rsidR="00903F44" w:rsidRPr="00903F44" w:rsidRDefault="00903F44" w:rsidP="00903F44">
            <w:pPr>
              <w:keepNext/>
              <w:spacing w:after="0" w:line="240" w:lineRule="auto"/>
              <w:jc w:val="center"/>
              <w:rPr>
                <w:rFonts w:ascii="Calibri" w:eastAsia="Times New Roman" w:hAnsi="Calibri" w:cs="Calibri"/>
                <w:color w:val="000000"/>
                <w:lang w:eastAsia="sv-SE"/>
              </w:rPr>
            </w:pPr>
            <w:r w:rsidRPr="00903F44">
              <w:rPr>
                <w:rFonts w:ascii="Calibri" w:eastAsia="Times New Roman" w:hAnsi="Calibri" w:cs="Calibri"/>
                <w:color w:val="000000"/>
                <w:lang w:eastAsia="sv-SE"/>
              </w:rPr>
              <w:t>93%</w:t>
            </w:r>
          </w:p>
        </w:tc>
      </w:tr>
    </w:tbl>
    <w:p w14:paraId="152FC89E" w14:textId="0E0F3E26" w:rsidR="006D39B4" w:rsidRPr="0042395E" w:rsidRDefault="00903F44" w:rsidP="00903F44">
      <w:pPr>
        <w:pStyle w:val="Caption"/>
        <w:rPr>
          <w:rFonts w:ascii="Arial" w:hAnsi="Arial" w:cs="Arial"/>
          <w:lang w:val="en-US"/>
        </w:rPr>
      </w:pPr>
      <w:bookmarkStart w:id="6" w:name="_Ref16756899"/>
      <w:r w:rsidRPr="00D34E87">
        <w:rPr>
          <w:lang w:val="en-US"/>
        </w:rPr>
        <w:t xml:space="preserve">Figure </w:t>
      </w:r>
      <w:r>
        <w:fldChar w:fldCharType="begin"/>
      </w:r>
      <w:r w:rsidRPr="00D34E87">
        <w:rPr>
          <w:lang w:val="en-US"/>
        </w:rPr>
        <w:instrText xml:space="preserve"> SEQ Figure \* ARABIC </w:instrText>
      </w:r>
      <w:r>
        <w:fldChar w:fldCharType="separate"/>
      </w:r>
      <w:r w:rsidR="00EB3DEC">
        <w:rPr>
          <w:noProof/>
          <w:lang w:val="en-US"/>
        </w:rPr>
        <w:t>3</w:t>
      </w:r>
      <w:r>
        <w:fldChar w:fldCharType="end"/>
      </w:r>
      <w:bookmarkEnd w:id="6"/>
      <w:r w:rsidR="00D34E87" w:rsidRPr="00D34E87">
        <w:rPr>
          <w:lang w:val="en-US"/>
        </w:rPr>
        <w:t xml:space="preserve">: </w:t>
      </w:r>
      <w:r w:rsidR="00D34E87">
        <w:rPr>
          <w:lang w:val="en-US"/>
        </w:rPr>
        <w:t>PUSCH duty cycle</w:t>
      </w:r>
      <w:r w:rsidR="00D34E87" w:rsidRPr="00D34E87">
        <w:rPr>
          <w:lang w:val="en-US"/>
        </w:rPr>
        <w:t xml:space="preserve"> for different number of TBs and repetitions on MPDCCH and PUSCH</w:t>
      </w:r>
      <w:r w:rsidR="008E3464">
        <w:rPr>
          <w:lang w:val="en-US"/>
        </w:rPr>
        <w:t>.</w:t>
      </w:r>
    </w:p>
    <w:tbl>
      <w:tblPr>
        <w:tblW w:w="10240" w:type="dxa"/>
        <w:tblCellMar>
          <w:left w:w="70" w:type="dxa"/>
          <w:right w:w="70" w:type="dxa"/>
        </w:tblCellMar>
        <w:tblLook w:val="04A0" w:firstRow="1" w:lastRow="0" w:firstColumn="1" w:lastColumn="0" w:noHBand="0" w:noVBand="1"/>
      </w:tblPr>
      <w:tblGrid>
        <w:gridCol w:w="960"/>
        <w:gridCol w:w="682"/>
        <w:gridCol w:w="546"/>
        <w:gridCol w:w="546"/>
        <w:gridCol w:w="546"/>
        <w:gridCol w:w="682"/>
        <w:gridCol w:w="546"/>
        <w:gridCol w:w="546"/>
        <w:gridCol w:w="546"/>
        <w:gridCol w:w="682"/>
        <w:gridCol w:w="546"/>
        <w:gridCol w:w="546"/>
        <w:gridCol w:w="546"/>
        <w:gridCol w:w="682"/>
        <w:gridCol w:w="546"/>
        <w:gridCol w:w="546"/>
        <w:gridCol w:w="546"/>
      </w:tblGrid>
      <w:tr w:rsidR="002E03DD" w:rsidRPr="002E03DD" w14:paraId="6B97FA30" w14:textId="77777777" w:rsidTr="002E03DD">
        <w:trPr>
          <w:trHeight w:val="300"/>
        </w:trPr>
        <w:tc>
          <w:tcPr>
            <w:tcW w:w="960" w:type="dxa"/>
            <w:tcBorders>
              <w:top w:val="single" w:sz="4" w:space="0" w:color="auto"/>
              <w:left w:val="single" w:sz="4" w:space="0" w:color="auto"/>
              <w:bottom w:val="nil"/>
              <w:right w:val="nil"/>
            </w:tcBorders>
            <w:shd w:val="clear" w:color="000000" w:fill="595959"/>
            <w:noWrap/>
            <w:vAlign w:val="bottom"/>
            <w:hideMark/>
          </w:tcPr>
          <w:p w14:paraId="54F7F3EA" w14:textId="77777777" w:rsidR="002E03DD" w:rsidRPr="002E03DD" w:rsidRDefault="002E03DD" w:rsidP="002E03DD">
            <w:pPr>
              <w:spacing w:after="0" w:line="240" w:lineRule="auto"/>
              <w:rPr>
                <w:rFonts w:ascii="Calibri" w:eastAsia="Times New Roman" w:hAnsi="Calibri" w:cs="Calibri"/>
                <w:b/>
                <w:bCs/>
                <w:color w:val="FFFFFF"/>
                <w:lang w:val="en-US" w:eastAsia="sv-SE"/>
              </w:rPr>
            </w:pPr>
            <w:r w:rsidRPr="002E03DD">
              <w:rPr>
                <w:rFonts w:ascii="Calibri" w:eastAsia="Times New Roman" w:hAnsi="Calibri" w:cs="Calibri"/>
                <w:b/>
                <w:bCs/>
                <w:color w:val="FFFFFF"/>
                <w:lang w:val="en-US" w:eastAsia="sv-SE"/>
              </w:rPr>
              <w:t> </w:t>
            </w:r>
          </w:p>
        </w:tc>
        <w:tc>
          <w:tcPr>
            <w:tcW w:w="2320" w:type="dxa"/>
            <w:gridSpan w:val="4"/>
            <w:tcBorders>
              <w:top w:val="single" w:sz="4" w:space="0" w:color="auto"/>
              <w:left w:val="single" w:sz="4" w:space="0" w:color="auto"/>
              <w:bottom w:val="nil"/>
              <w:right w:val="single" w:sz="4" w:space="0" w:color="000000"/>
            </w:tcBorders>
            <w:shd w:val="clear" w:color="000000" w:fill="595959"/>
            <w:noWrap/>
            <w:vAlign w:val="bottom"/>
            <w:hideMark/>
          </w:tcPr>
          <w:p w14:paraId="475529FB"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4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29385116"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8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708B76BB"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16 PUSCH rep.</w:t>
            </w:r>
          </w:p>
        </w:tc>
        <w:tc>
          <w:tcPr>
            <w:tcW w:w="2320" w:type="dxa"/>
            <w:gridSpan w:val="4"/>
            <w:tcBorders>
              <w:top w:val="single" w:sz="4" w:space="0" w:color="auto"/>
              <w:left w:val="nil"/>
              <w:bottom w:val="nil"/>
              <w:right w:val="single" w:sz="4" w:space="0" w:color="000000"/>
            </w:tcBorders>
            <w:shd w:val="clear" w:color="000000" w:fill="595959"/>
            <w:noWrap/>
            <w:vAlign w:val="bottom"/>
            <w:hideMark/>
          </w:tcPr>
          <w:p w14:paraId="3156D78D"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32 PUSCH rep.</w:t>
            </w:r>
          </w:p>
        </w:tc>
      </w:tr>
      <w:tr w:rsidR="002E03DD" w:rsidRPr="002E03DD" w14:paraId="2904A517" w14:textId="77777777" w:rsidTr="002E03DD">
        <w:trPr>
          <w:trHeight w:val="300"/>
        </w:trPr>
        <w:tc>
          <w:tcPr>
            <w:tcW w:w="960" w:type="dxa"/>
            <w:tcBorders>
              <w:top w:val="nil"/>
              <w:left w:val="single" w:sz="4" w:space="0" w:color="auto"/>
              <w:bottom w:val="nil"/>
              <w:right w:val="nil"/>
            </w:tcBorders>
            <w:shd w:val="clear" w:color="000000" w:fill="595959"/>
            <w:noWrap/>
            <w:vAlign w:val="bottom"/>
            <w:hideMark/>
          </w:tcPr>
          <w:p w14:paraId="4065E598" w14:textId="77777777" w:rsidR="002E03DD" w:rsidRPr="002E03DD" w:rsidRDefault="002E03DD" w:rsidP="002E03DD">
            <w:pPr>
              <w:spacing w:after="0" w:line="240" w:lineRule="auto"/>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 </w:t>
            </w:r>
          </w:p>
        </w:tc>
        <w:tc>
          <w:tcPr>
            <w:tcW w:w="2320" w:type="dxa"/>
            <w:gridSpan w:val="4"/>
            <w:tcBorders>
              <w:top w:val="nil"/>
              <w:left w:val="single" w:sz="4" w:space="0" w:color="auto"/>
              <w:bottom w:val="nil"/>
              <w:right w:val="single" w:sz="4" w:space="0" w:color="000000"/>
            </w:tcBorders>
            <w:shd w:val="clear" w:color="000000" w:fill="808080"/>
            <w:noWrap/>
            <w:vAlign w:val="bottom"/>
            <w:hideMark/>
          </w:tcPr>
          <w:p w14:paraId="2025D043"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65B35E39"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2D32A047"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Nrof TBs</w:t>
            </w:r>
          </w:p>
        </w:tc>
        <w:tc>
          <w:tcPr>
            <w:tcW w:w="2320" w:type="dxa"/>
            <w:gridSpan w:val="4"/>
            <w:tcBorders>
              <w:top w:val="nil"/>
              <w:left w:val="nil"/>
              <w:bottom w:val="single" w:sz="4" w:space="0" w:color="auto"/>
              <w:right w:val="single" w:sz="4" w:space="0" w:color="000000"/>
            </w:tcBorders>
            <w:shd w:val="clear" w:color="000000" w:fill="808080"/>
            <w:noWrap/>
            <w:vAlign w:val="bottom"/>
            <w:hideMark/>
          </w:tcPr>
          <w:p w14:paraId="0A3B8908" w14:textId="77777777" w:rsidR="002E03DD" w:rsidRPr="002E03DD" w:rsidRDefault="002E03DD" w:rsidP="002E03DD">
            <w:pPr>
              <w:spacing w:after="0" w:line="240" w:lineRule="auto"/>
              <w:jc w:val="center"/>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Nrof TBs</w:t>
            </w:r>
          </w:p>
        </w:tc>
      </w:tr>
      <w:tr w:rsidR="002E03DD" w:rsidRPr="002E03DD" w14:paraId="41983DD5" w14:textId="77777777" w:rsidTr="002E03DD">
        <w:trPr>
          <w:trHeight w:val="300"/>
        </w:trPr>
        <w:tc>
          <w:tcPr>
            <w:tcW w:w="960" w:type="dxa"/>
            <w:tcBorders>
              <w:top w:val="nil"/>
              <w:left w:val="single" w:sz="4" w:space="0" w:color="auto"/>
              <w:bottom w:val="nil"/>
              <w:right w:val="nil"/>
            </w:tcBorders>
            <w:shd w:val="clear" w:color="000000" w:fill="595959"/>
            <w:noWrap/>
            <w:vAlign w:val="bottom"/>
            <w:hideMark/>
          </w:tcPr>
          <w:p w14:paraId="323E2B23" w14:textId="77777777" w:rsidR="002E03DD" w:rsidRPr="002E03DD" w:rsidRDefault="002E03DD" w:rsidP="002E03DD">
            <w:pPr>
              <w:spacing w:after="0" w:line="240" w:lineRule="auto"/>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MPDCCH</w:t>
            </w:r>
          </w:p>
        </w:tc>
        <w:tc>
          <w:tcPr>
            <w:tcW w:w="682" w:type="dxa"/>
            <w:tcBorders>
              <w:top w:val="single" w:sz="4" w:space="0" w:color="auto"/>
              <w:left w:val="single" w:sz="4" w:space="0" w:color="auto"/>
              <w:bottom w:val="single" w:sz="4" w:space="0" w:color="auto"/>
              <w:right w:val="nil"/>
            </w:tcBorders>
            <w:shd w:val="clear" w:color="000000" w:fill="808080"/>
            <w:noWrap/>
            <w:vAlign w:val="bottom"/>
            <w:hideMark/>
          </w:tcPr>
          <w:p w14:paraId="1609B802"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1</w:t>
            </w:r>
          </w:p>
        </w:tc>
        <w:tc>
          <w:tcPr>
            <w:tcW w:w="546" w:type="dxa"/>
            <w:tcBorders>
              <w:top w:val="single" w:sz="4" w:space="0" w:color="auto"/>
              <w:left w:val="nil"/>
              <w:bottom w:val="single" w:sz="4" w:space="0" w:color="auto"/>
              <w:right w:val="nil"/>
            </w:tcBorders>
            <w:shd w:val="clear" w:color="000000" w:fill="808080"/>
            <w:noWrap/>
            <w:vAlign w:val="bottom"/>
            <w:hideMark/>
          </w:tcPr>
          <w:p w14:paraId="0DE4D37C"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2</w:t>
            </w:r>
          </w:p>
        </w:tc>
        <w:tc>
          <w:tcPr>
            <w:tcW w:w="546" w:type="dxa"/>
            <w:tcBorders>
              <w:top w:val="single" w:sz="4" w:space="0" w:color="auto"/>
              <w:left w:val="nil"/>
              <w:bottom w:val="single" w:sz="4" w:space="0" w:color="auto"/>
              <w:right w:val="nil"/>
            </w:tcBorders>
            <w:shd w:val="clear" w:color="000000" w:fill="808080"/>
            <w:noWrap/>
            <w:vAlign w:val="bottom"/>
            <w:hideMark/>
          </w:tcPr>
          <w:p w14:paraId="1E91FCB6"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4</w:t>
            </w:r>
          </w:p>
        </w:tc>
        <w:tc>
          <w:tcPr>
            <w:tcW w:w="546" w:type="dxa"/>
            <w:tcBorders>
              <w:top w:val="single" w:sz="4" w:space="0" w:color="auto"/>
              <w:left w:val="nil"/>
              <w:bottom w:val="single" w:sz="4" w:space="0" w:color="auto"/>
              <w:right w:val="single" w:sz="4" w:space="0" w:color="auto"/>
            </w:tcBorders>
            <w:shd w:val="clear" w:color="000000" w:fill="808080"/>
            <w:noWrap/>
            <w:vAlign w:val="bottom"/>
            <w:hideMark/>
          </w:tcPr>
          <w:p w14:paraId="6198A297"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8</w:t>
            </w:r>
          </w:p>
        </w:tc>
        <w:tc>
          <w:tcPr>
            <w:tcW w:w="682" w:type="dxa"/>
            <w:tcBorders>
              <w:top w:val="nil"/>
              <w:left w:val="nil"/>
              <w:bottom w:val="single" w:sz="4" w:space="0" w:color="auto"/>
              <w:right w:val="nil"/>
            </w:tcBorders>
            <w:shd w:val="clear" w:color="000000" w:fill="808080"/>
            <w:noWrap/>
            <w:vAlign w:val="bottom"/>
            <w:hideMark/>
          </w:tcPr>
          <w:p w14:paraId="37A257D8"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1</w:t>
            </w:r>
          </w:p>
        </w:tc>
        <w:tc>
          <w:tcPr>
            <w:tcW w:w="546" w:type="dxa"/>
            <w:tcBorders>
              <w:top w:val="nil"/>
              <w:left w:val="nil"/>
              <w:bottom w:val="single" w:sz="4" w:space="0" w:color="auto"/>
              <w:right w:val="nil"/>
            </w:tcBorders>
            <w:shd w:val="clear" w:color="000000" w:fill="808080"/>
            <w:noWrap/>
            <w:vAlign w:val="bottom"/>
            <w:hideMark/>
          </w:tcPr>
          <w:p w14:paraId="6A10BCE7"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2</w:t>
            </w:r>
          </w:p>
        </w:tc>
        <w:tc>
          <w:tcPr>
            <w:tcW w:w="546" w:type="dxa"/>
            <w:tcBorders>
              <w:top w:val="nil"/>
              <w:left w:val="nil"/>
              <w:bottom w:val="single" w:sz="4" w:space="0" w:color="auto"/>
              <w:right w:val="nil"/>
            </w:tcBorders>
            <w:shd w:val="clear" w:color="000000" w:fill="808080"/>
            <w:noWrap/>
            <w:vAlign w:val="bottom"/>
            <w:hideMark/>
          </w:tcPr>
          <w:p w14:paraId="1F2BD60B"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4</w:t>
            </w:r>
          </w:p>
        </w:tc>
        <w:tc>
          <w:tcPr>
            <w:tcW w:w="546" w:type="dxa"/>
            <w:tcBorders>
              <w:top w:val="nil"/>
              <w:left w:val="nil"/>
              <w:bottom w:val="single" w:sz="4" w:space="0" w:color="auto"/>
              <w:right w:val="single" w:sz="4" w:space="0" w:color="auto"/>
            </w:tcBorders>
            <w:shd w:val="clear" w:color="000000" w:fill="808080"/>
            <w:noWrap/>
            <w:vAlign w:val="bottom"/>
            <w:hideMark/>
          </w:tcPr>
          <w:p w14:paraId="6FBF1B97"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8</w:t>
            </w:r>
          </w:p>
        </w:tc>
        <w:tc>
          <w:tcPr>
            <w:tcW w:w="682" w:type="dxa"/>
            <w:tcBorders>
              <w:top w:val="nil"/>
              <w:left w:val="nil"/>
              <w:bottom w:val="single" w:sz="4" w:space="0" w:color="auto"/>
              <w:right w:val="nil"/>
            </w:tcBorders>
            <w:shd w:val="clear" w:color="000000" w:fill="808080"/>
            <w:noWrap/>
            <w:vAlign w:val="bottom"/>
            <w:hideMark/>
          </w:tcPr>
          <w:p w14:paraId="11926785"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1</w:t>
            </w:r>
          </w:p>
        </w:tc>
        <w:tc>
          <w:tcPr>
            <w:tcW w:w="546" w:type="dxa"/>
            <w:tcBorders>
              <w:top w:val="nil"/>
              <w:left w:val="nil"/>
              <w:bottom w:val="single" w:sz="4" w:space="0" w:color="auto"/>
              <w:right w:val="nil"/>
            </w:tcBorders>
            <w:shd w:val="clear" w:color="000000" w:fill="808080"/>
            <w:noWrap/>
            <w:vAlign w:val="bottom"/>
            <w:hideMark/>
          </w:tcPr>
          <w:p w14:paraId="389A0FF1"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2</w:t>
            </w:r>
          </w:p>
        </w:tc>
        <w:tc>
          <w:tcPr>
            <w:tcW w:w="546" w:type="dxa"/>
            <w:tcBorders>
              <w:top w:val="nil"/>
              <w:left w:val="nil"/>
              <w:bottom w:val="single" w:sz="4" w:space="0" w:color="auto"/>
              <w:right w:val="nil"/>
            </w:tcBorders>
            <w:shd w:val="clear" w:color="000000" w:fill="808080"/>
            <w:noWrap/>
            <w:vAlign w:val="bottom"/>
            <w:hideMark/>
          </w:tcPr>
          <w:p w14:paraId="096253FD"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4</w:t>
            </w:r>
          </w:p>
        </w:tc>
        <w:tc>
          <w:tcPr>
            <w:tcW w:w="546" w:type="dxa"/>
            <w:tcBorders>
              <w:top w:val="nil"/>
              <w:left w:val="nil"/>
              <w:bottom w:val="single" w:sz="4" w:space="0" w:color="auto"/>
              <w:right w:val="single" w:sz="4" w:space="0" w:color="auto"/>
            </w:tcBorders>
            <w:shd w:val="clear" w:color="000000" w:fill="808080"/>
            <w:noWrap/>
            <w:vAlign w:val="bottom"/>
            <w:hideMark/>
          </w:tcPr>
          <w:p w14:paraId="1C3CD6AC"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8</w:t>
            </w:r>
          </w:p>
        </w:tc>
        <w:tc>
          <w:tcPr>
            <w:tcW w:w="682" w:type="dxa"/>
            <w:tcBorders>
              <w:top w:val="nil"/>
              <w:left w:val="nil"/>
              <w:bottom w:val="single" w:sz="4" w:space="0" w:color="auto"/>
              <w:right w:val="nil"/>
            </w:tcBorders>
            <w:shd w:val="clear" w:color="000000" w:fill="808080"/>
            <w:noWrap/>
            <w:vAlign w:val="bottom"/>
            <w:hideMark/>
          </w:tcPr>
          <w:p w14:paraId="65043C14"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1</w:t>
            </w:r>
          </w:p>
        </w:tc>
        <w:tc>
          <w:tcPr>
            <w:tcW w:w="546" w:type="dxa"/>
            <w:tcBorders>
              <w:top w:val="nil"/>
              <w:left w:val="nil"/>
              <w:bottom w:val="single" w:sz="4" w:space="0" w:color="auto"/>
              <w:right w:val="nil"/>
            </w:tcBorders>
            <w:shd w:val="clear" w:color="000000" w:fill="808080"/>
            <w:noWrap/>
            <w:vAlign w:val="bottom"/>
            <w:hideMark/>
          </w:tcPr>
          <w:p w14:paraId="6E81C2EC"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2</w:t>
            </w:r>
          </w:p>
        </w:tc>
        <w:tc>
          <w:tcPr>
            <w:tcW w:w="546" w:type="dxa"/>
            <w:tcBorders>
              <w:top w:val="nil"/>
              <w:left w:val="nil"/>
              <w:bottom w:val="single" w:sz="4" w:space="0" w:color="auto"/>
              <w:right w:val="nil"/>
            </w:tcBorders>
            <w:shd w:val="clear" w:color="000000" w:fill="808080"/>
            <w:noWrap/>
            <w:vAlign w:val="bottom"/>
            <w:hideMark/>
          </w:tcPr>
          <w:p w14:paraId="031FDB03"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4</w:t>
            </w:r>
          </w:p>
        </w:tc>
        <w:tc>
          <w:tcPr>
            <w:tcW w:w="546" w:type="dxa"/>
            <w:tcBorders>
              <w:top w:val="nil"/>
              <w:left w:val="nil"/>
              <w:bottom w:val="single" w:sz="4" w:space="0" w:color="auto"/>
              <w:right w:val="single" w:sz="4" w:space="0" w:color="auto"/>
            </w:tcBorders>
            <w:shd w:val="clear" w:color="000000" w:fill="808080"/>
            <w:noWrap/>
            <w:vAlign w:val="bottom"/>
            <w:hideMark/>
          </w:tcPr>
          <w:p w14:paraId="7821BE8E" w14:textId="77777777" w:rsidR="002E03DD" w:rsidRPr="002E03DD" w:rsidRDefault="002E03DD" w:rsidP="002E03DD">
            <w:pPr>
              <w:spacing w:after="0" w:line="240" w:lineRule="auto"/>
              <w:jc w:val="center"/>
              <w:rPr>
                <w:rFonts w:ascii="Calibri" w:eastAsia="Times New Roman" w:hAnsi="Calibri" w:cs="Calibri"/>
                <w:color w:val="FFFFFF"/>
                <w:lang w:eastAsia="sv-SE"/>
              </w:rPr>
            </w:pPr>
            <w:r w:rsidRPr="002E03DD">
              <w:rPr>
                <w:rFonts w:ascii="Calibri" w:eastAsia="Times New Roman" w:hAnsi="Calibri" w:cs="Calibri"/>
                <w:color w:val="FFFFFF"/>
                <w:lang w:eastAsia="sv-SE"/>
              </w:rPr>
              <w:t>8</w:t>
            </w:r>
          </w:p>
        </w:tc>
      </w:tr>
      <w:tr w:rsidR="002E03DD" w:rsidRPr="002E03DD" w14:paraId="1B16DAE2" w14:textId="77777777" w:rsidTr="002E03DD">
        <w:trPr>
          <w:trHeight w:val="300"/>
        </w:trPr>
        <w:tc>
          <w:tcPr>
            <w:tcW w:w="960" w:type="dxa"/>
            <w:tcBorders>
              <w:top w:val="nil"/>
              <w:left w:val="single" w:sz="4" w:space="0" w:color="auto"/>
              <w:bottom w:val="nil"/>
              <w:right w:val="nil"/>
            </w:tcBorders>
            <w:shd w:val="clear" w:color="000000" w:fill="595959"/>
            <w:noWrap/>
            <w:vAlign w:val="bottom"/>
            <w:hideMark/>
          </w:tcPr>
          <w:p w14:paraId="0888E2AF" w14:textId="77777777" w:rsidR="002E03DD" w:rsidRPr="002E03DD" w:rsidRDefault="002E03DD" w:rsidP="002E03DD">
            <w:pPr>
              <w:spacing w:after="0" w:line="240" w:lineRule="auto"/>
              <w:jc w:val="right"/>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4</w:t>
            </w:r>
          </w:p>
        </w:tc>
        <w:tc>
          <w:tcPr>
            <w:tcW w:w="682" w:type="dxa"/>
            <w:tcBorders>
              <w:top w:val="nil"/>
              <w:left w:val="single" w:sz="4" w:space="0" w:color="auto"/>
              <w:bottom w:val="nil"/>
              <w:right w:val="nil"/>
            </w:tcBorders>
            <w:shd w:val="clear" w:color="000000" w:fill="EDEDED"/>
            <w:noWrap/>
            <w:vAlign w:val="bottom"/>
            <w:hideMark/>
          </w:tcPr>
          <w:p w14:paraId="066CFFF0"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1EA33BAF"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1,8</w:t>
            </w:r>
          </w:p>
        </w:tc>
        <w:tc>
          <w:tcPr>
            <w:tcW w:w="546" w:type="dxa"/>
            <w:tcBorders>
              <w:top w:val="nil"/>
              <w:left w:val="nil"/>
              <w:bottom w:val="nil"/>
              <w:right w:val="nil"/>
            </w:tcBorders>
            <w:shd w:val="clear" w:color="000000" w:fill="FCE4D6"/>
            <w:noWrap/>
            <w:vAlign w:val="bottom"/>
            <w:hideMark/>
          </w:tcPr>
          <w:p w14:paraId="77356377"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3,0</w:t>
            </w:r>
          </w:p>
        </w:tc>
        <w:tc>
          <w:tcPr>
            <w:tcW w:w="546" w:type="dxa"/>
            <w:tcBorders>
              <w:top w:val="nil"/>
              <w:left w:val="nil"/>
              <w:bottom w:val="nil"/>
              <w:right w:val="single" w:sz="4" w:space="0" w:color="auto"/>
            </w:tcBorders>
            <w:shd w:val="clear" w:color="000000" w:fill="FCE4D6"/>
            <w:noWrap/>
            <w:vAlign w:val="bottom"/>
            <w:hideMark/>
          </w:tcPr>
          <w:p w14:paraId="5635C397"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3,8</w:t>
            </w:r>
          </w:p>
        </w:tc>
        <w:tc>
          <w:tcPr>
            <w:tcW w:w="682" w:type="dxa"/>
            <w:tcBorders>
              <w:top w:val="nil"/>
              <w:left w:val="nil"/>
              <w:bottom w:val="nil"/>
              <w:right w:val="nil"/>
            </w:tcBorders>
            <w:shd w:val="clear" w:color="000000" w:fill="EDEDED"/>
            <w:noWrap/>
            <w:vAlign w:val="bottom"/>
            <w:hideMark/>
          </w:tcPr>
          <w:p w14:paraId="679D5F54"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1B5F13C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1,2</w:t>
            </w:r>
          </w:p>
        </w:tc>
        <w:tc>
          <w:tcPr>
            <w:tcW w:w="546" w:type="dxa"/>
            <w:tcBorders>
              <w:top w:val="nil"/>
              <w:left w:val="nil"/>
              <w:bottom w:val="nil"/>
              <w:right w:val="nil"/>
            </w:tcBorders>
            <w:shd w:val="clear" w:color="000000" w:fill="FCE4D6"/>
            <w:noWrap/>
            <w:vAlign w:val="bottom"/>
            <w:hideMark/>
          </w:tcPr>
          <w:p w14:paraId="298763BC"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2,0</w:t>
            </w:r>
          </w:p>
        </w:tc>
        <w:tc>
          <w:tcPr>
            <w:tcW w:w="546" w:type="dxa"/>
            <w:tcBorders>
              <w:top w:val="nil"/>
              <w:left w:val="nil"/>
              <w:bottom w:val="nil"/>
              <w:right w:val="single" w:sz="4" w:space="0" w:color="auto"/>
            </w:tcBorders>
            <w:shd w:val="clear" w:color="000000" w:fill="FCE4D6"/>
            <w:noWrap/>
            <w:vAlign w:val="bottom"/>
            <w:hideMark/>
          </w:tcPr>
          <w:p w14:paraId="4A09E8FB"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2,5</w:t>
            </w:r>
          </w:p>
        </w:tc>
        <w:tc>
          <w:tcPr>
            <w:tcW w:w="682" w:type="dxa"/>
            <w:tcBorders>
              <w:top w:val="nil"/>
              <w:left w:val="nil"/>
              <w:bottom w:val="nil"/>
              <w:right w:val="nil"/>
            </w:tcBorders>
            <w:shd w:val="clear" w:color="000000" w:fill="EDEDED"/>
            <w:noWrap/>
            <w:vAlign w:val="bottom"/>
            <w:hideMark/>
          </w:tcPr>
          <w:p w14:paraId="793BBC2C"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03AEDFC5"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0,8</w:t>
            </w:r>
          </w:p>
        </w:tc>
        <w:tc>
          <w:tcPr>
            <w:tcW w:w="546" w:type="dxa"/>
            <w:tcBorders>
              <w:top w:val="nil"/>
              <w:left w:val="nil"/>
              <w:bottom w:val="nil"/>
              <w:right w:val="nil"/>
            </w:tcBorders>
            <w:shd w:val="clear" w:color="000000" w:fill="FCE4D6"/>
            <w:noWrap/>
            <w:vAlign w:val="bottom"/>
            <w:hideMark/>
          </w:tcPr>
          <w:p w14:paraId="66CB3EB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1,2</w:t>
            </w:r>
          </w:p>
        </w:tc>
        <w:tc>
          <w:tcPr>
            <w:tcW w:w="546" w:type="dxa"/>
            <w:tcBorders>
              <w:top w:val="nil"/>
              <w:left w:val="nil"/>
              <w:bottom w:val="nil"/>
              <w:right w:val="single" w:sz="4" w:space="0" w:color="auto"/>
            </w:tcBorders>
            <w:shd w:val="clear" w:color="000000" w:fill="FCE4D6"/>
            <w:noWrap/>
            <w:vAlign w:val="bottom"/>
            <w:hideMark/>
          </w:tcPr>
          <w:p w14:paraId="1E32BF04"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1,5</w:t>
            </w:r>
          </w:p>
        </w:tc>
        <w:tc>
          <w:tcPr>
            <w:tcW w:w="682" w:type="dxa"/>
            <w:tcBorders>
              <w:top w:val="nil"/>
              <w:left w:val="nil"/>
              <w:bottom w:val="nil"/>
              <w:right w:val="nil"/>
            </w:tcBorders>
            <w:shd w:val="clear" w:color="000000" w:fill="EDEDED"/>
            <w:noWrap/>
            <w:vAlign w:val="bottom"/>
            <w:hideMark/>
          </w:tcPr>
          <w:p w14:paraId="1BD6B494"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16DA471E"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0,5</w:t>
            </w:r>
          </w:p>
        </w:tc>
        <w:tc>
          <w:tcPr>
            <w:tcW w:w="546" w:type="dxa"/>
            <w:tcBorders>
              <w:top w:val="nil"/>
              <w:left w:val="nil"/>
              <w:bottom w:val="nil"/>
              <w:right w:val="nil"/>
            </w:tcBorders>
            <w:shd w:val="clear" w:color="000000" w:fill="FCE4D6"/>
            <w:noWrap/>
            <w:vAlign w:val="bottom"/>
            <w:hideMark/>
          </w:tcPr>
          <w:p w14:paraId="4EE709F6"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0,7</w:t>
            </w:r>
          </w:p>
        </w:tc>
        <w:tc>
          <w:tcPr>
            <w:tcW w:w="546" w:type="dxa"/>
            <w:tcBorders>
              <w:top w:val="nil"/>
              <w:left w:val="nil"/>
              <w:bottom w:val="nil"/>
              <w:right w:val="single" w:sz="4" w:space="0" w:color="auto"/>
            </w:tcBorders>
            <w:shd w:val="clear" w:color="000000" w:fill="FCE4D6"/>
            <w:noWrap/>
            <w:vAlign w:val="bottom"/>
            <w:hideMark/>
          </w:tcPr>
          <w:p w14:paraId="107607D3"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0,8</w:t>
            </w:r>
          </w:p>
        </w:tc>
      </w:tr>
      <w:tr w:rsidR="002E03DD" w:rsidRPr="002E03DD" w14:paraId="67D06264" w14:textId="77777777" w:rsidTr="002E03DD">
        <w:trPr>
          <w:trHeight w:val="300"/>
        </w:trPr>
        <w:tc>
          <w:tcPr>
            <w:tcW w:w="960" w:type="dxa"/>
            <w:tcBorders>
              <w:top w:val="nil"/>
              <w:left w:val="single" w:sz="4" w:space="0" w:color="auto"/>
              <w:bottom w:val="nil"/>
              <w:right w:val="nil"/>
            </w:tcBorders>
            <w:shd w:val="clear" w:color="000000" w:fill="595959"/>
            <w:noWrap/>
            <w:vAlign w:val="bottom"/>
            <w:hideMark/>
          </w:tcPr>
          <w:p w14:paraId="56D7D08A" w14:textId="77777777" w:rsidR="002E03DD" w:rsidRPr="002E03DD" w:rsidRDefault="002E03DD" w:rsidP="002E03DD">
            <w:pPr>
              <w:spacing w:after="0" w:line="240" w:lineRule="auto"/>
              <w:jc w:val="right"/>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8</w:t>
            </w:r>
          </w:p>
        </w:tc>
        <w:tc>
          <w:tcPr>
            <w:tcW w:w="682" w:type="dxa"/>
            <w:tcBorders>
              <w:top w:val="nil"/>
              <w:left w:val="single" w:sz="4" w:space="0" w:color="auto"/>
              <w:bottom w:val="nil"/>
              <w:right w:val="nil"/>
            </w:tcBorders>
            <w:shd w:val="clear" w:color="000000" w:fill="EDEDED"/>
            <w:noWrap/>
            <w:vAlign w:val="bottom"/>
            <w:hideMark/>
          </w:tcPr>
          <w:p w14:paraId="30682011"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25A2EF2A"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2,0</w:t>
            </w:r>
          </w:p>
        </w:tc>
        <w:tc>
          <w:tcPr>
            <w:tcW w:w="546" w:type="dxa"/>
            <w:tcBorders>
              <w:top w:val="nil"/>
              <w:left w:val="nil"/>
              <w:bottom w:val="nil"/>
              <w:right w:val="nil"/>
            </w:tcBorders>
            <w:shd w:val="clear" w:color="000000" w:fill="FCE4D6"/>
            <w:noWrap/>
            <w:vAlign w:val="bottom"/>
            <w:hideMark/>
          </w:tcPr>
          <w:p w14:paraId="76BDE091"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3,6</w:t>
            </w:r>
          </w:p>
        </w:tc>
        <w:tc>
          <w:tcPr>
            <w:tcW w:w="546" w:type="dxa"/>
            <w:tcBorders>
              <w:top w:val="nil"/>
              <w:left w:val="nil"/>
              <w:bottom w:val="nil"/>
              <w:right w:val="single" w:sz="4" w:space="0" w:color="auto"/>
            </w:tcBorders>
            <w:shd w:val="clear" w:color="000000" w:fill="FCE4D6"/>
            <w:noWrap/>
            <w:vAlign w:val="bottom"/>
            <w:hideMark/>
          </w:tcPr>
          <w:p w14:paraId="6D5D115C"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4,6</w:t>
            </w:r>
          </w:p>
        </w:tc>
        <w:tc>
          <w:tcPr>
            <w:tcW w:w="682" w:type="dxa"/>
            <w:tcBorders>
              <w:top w:val="nil"/>
              <w:left w:val="nil"/>
              <w:bottom w:val="nil"/>
              <w:right w:val="nil"/>
            </w:tcBorders>
            <w:shd w:val="clear" w:color="000000" w:fill="EDEDED"/>
            <w:noWrap/>
            <w:vAlign w:val="bottom"/>
            <w:hideMark/>
          </w:tcPr>
          <w:p w14:paraId="266FEBD6"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2EB73C7F"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1,5</w:t>
            </w:r>
          </w:p>
        </w:tc>
        <w:tc>
          <w:tcPr>
            <w:tcW w:w="546" w:type="dxa"/>
            <w:tcBorders>
              <w:top w:val="nil"/>
              <w:left w:val="nil"/>
              <w:bottom w:val="nil"/>
              <w:right w:val="nil"/>
            </w:tcBorders>
            <w:shd w:val="clear" w:color="000000" w:fill="FCE4D6"/>
            <w:noWrap/>
            <w:vAlign w:val="bottom"/>
            <w:hideMark/>
          </w:tcPr>
          <w:p w14:paraId="4698A01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2,6</w:t>
            </w:r>
          </w:p>
        </w:tc>
        <w:tc>
          <w:tcPr>
            <w:tcW w:w="546" w:type="dxa"/>
            <w:tcBorders>
              <w:top w:val="nil"/>
              <w:left w:val="nil"/>
              <w:bottom w:val="nil"/>
              <w:right w:val="single" w:sz="4" w:space="0" w:color="auto"/>
            </w:tcBorders>
            <w:shd w:val="clear" w:color="000000" w:fill="FCE4D6"/>
            <w:noWrap/>
            <w:vAlign w:val="bottom"/>
            <w:hideMark/>
          </w:tcPr>
          <w:p w14:paraId="6843596A"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3,2</w:t>
            </w:r>
          </w:p>
        </w:tc>
        <w:tc>
          <w:tcPr>
            <w:tcW w:w="682" w:type="dxa"/>
            <w:tcBorders>
              <w:top w:val="nil"/>
              <w:left w:val="nil"/>
              <w:bottom w:val="nil"/>
              <w:right w:val="nil"/>
            </w:tcBorders>
            <w:shd w:val="clear" w:color="000000" w:fill="EDEDED"/>
            <w:noWrap/>
            <w:vAlign w:val="bottom"/>
            <w:hideMark/>
          </w:tcPr>
          <w:p w14:paraId="7ACA3263"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39FBFBF9"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1,0</w:t>
            </w:r>
          </w:p>
        </w:tc>
        <w:tc>
          <w:tcPr>
            <w:tcW w:w="546" w:type="dxa"/>
            <w:tcBorders>
              <w:top w:val="nil"/>
              <w:left w:val="nil"/>
              <w:bottom w:val="nil"/>
              <w:right w:val="nil"/>
            </w:tcBorders>
            <w:shd w:val="clear" w:color="000000" w:fill="FCE4D6"/>
            <w:noWrap/>
            <w:vAlign w:val="bottom"/>
            <w:hideMark/>
          </w:tcPr>
          <w:p w14:paraId="12FE4A9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1,7</w:t>
            </w:r>
          </w:p>
        </w:tc>
        <w:tc>
          <w:tcPr>
            <w:tcW w:w="546" w:type="dxa"/>
            <w:tcBorders>
              <w:top w:val="nil"/>
              <w:left w:val="nil"/>
              <w:bottom w:val="nil"/>
              <w:right w:val="single" w:sz="4" w:space="0" w:color="auto"/>
            </w:tcBorders>
            <w:shd w:val="clear" w:color="000000" w:fill="FCE4D6"/>
            <w:noWrap/>
            <w:vAlign w:val="bottom"/>
            <w:hideMark/>
          </w:tcPr>
          <w:p w14:paraId="408123A1"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2,0</w:t>
            </w:r>
          </w:p>
        </w:tc>
        <w:tc>
          <w:tcPr>
            <w:tcW w:w="682" w:type="dxa"/>
            <w:tcBorders>
              <w:top w:val="nil"/>
              <w:left w:val="nil"/>
              <w:bottom w:val="nil"/>
              <w:right w:val="nil"/>
            </w:tcBorders>
            <w:shd w:val="clear" w:color="000000" w:fill="EDEDED"/>
            <w:noWrap/>
            <w:vAlign w:val="bottom"/>
            <w:hideMark/>
          </w:tcPr>
          <w:p w14:paraId="3540B2FA"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nil"/>
              <w:right w:val="nil"/>
            </w:tcBorders>
            <w:shd w:val="clear" w:color="000000" w:fill="FCE4D6"/>
            <w:noWrap/>
            <w:vAlign w:val="bottom"/>
            <w:hideMark/>
          </w:tcPr>
          <w:p w14:paraId="0E1EF258"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0,6</w:t>
            </w:r>
          </w:p>
        </w:tc>
        <w:tc>
          <w:tcPr>
            <w:tcW w:w="546" w:type="dxa"/>
            <w:tcBorders>
              <w:top w:val="nil"/>
              <w:left w:val="nil"/>
              <w:bottom w:val="nil"/>
              <w:right w:val="nil"/>
            </w:tcBorders>
            <w:shd w:val="clear" w:color="000000" w:fill="FCE4D6"/>
            <w:noWrap/>
            <w:vAlign w:val="bottom"/>
            <w:hideMark/>
          </w:tcPr>
          <w:p w14:paraId="5443E56C"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1,0</w:t>
            </w:r>
          </w:p>
        </w:tc>
        <w:tc>
          <w:tcPr>
            <w:tcW w:w="546" w:type="dxa"/>
            <w:tcBorders>
              <w:top w:val="nil"/>
              <w:left w:val="nil"/>
              <w:bottom w:val="nil"/>
              <w:right w:val="single" w:sz="4" w:space="0" w:color="auto"/>
            </w:tcBorders>
            <w:shd w:val="clear" w:color="000000" w:fill="FCE4D6"/>
            <w:noWrap/>
            <w:vAlign w:val="bottom"/>
            <w:hideMark/>
          </w:tcPr>
          <w:p w14:paraId="4BC536B4"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1,2</w:t>
            </w:r>
          </w:p>
        </w:tc>
      </w:tr>
      <w:tr w:rsidR="002E03DD" w:rsidRPr="002E03DD" w14:paraId="50152BB2" w14:textId="77777777" w:rsidTr="002E03DD">
        <w:trPr>
          <w:trHeight w:val="300"/>
        </w:trPr>
        <w:tc>
          <w:tcPr>
            <w:tcW w:w="960" w:type="dxa"/>
            <w:tcBorders>
              <w:top w:val="nil"/>
              <w:left w:val="single" w:sz="4" w:space="0" w:color="auto"/>
              <w:bottom w:val="single" w:sz="4" w:space="0" w:color="auto"/>
              <w:right w:val="nil"/>
            </w:tcBorders>
            <w:shd w:val="clear" w:color="000000" w:fill="595959"/>
            <w:noWrap/>
            <w:vAlign w:val="bottom"/>
            <w:hideMark/>
          </w:tcPr>
          <w:p w14:paraId="405B8FB6" w14:textId="77777777" w:rsidR="002E03DD" w:rsidRPr="002E03DD" w:rsidRDefault="002E03DD" w:rsidP="002E03DD">
            <w:pPr>
              <w:spacing w:after="0" w:line="240" w:lineRule="auto"/>
              <w:jc w:val="right"/>
              <w:rPr>
                <w:rFonts w:ascii="Calibri" w:eastAsia="Times New Roman" w:hAnsi="Calibri" w:cs="Calibri"/>
                <w:b/>
                <w:bCs/>
                <w:color w:val="FFFFFF"/>
                <w:lang w:eastAsia="sv-SE"/>
              </w:rPr>
            </w:pPr>
            <w:r w:rsidRPr="002E03DD">
              <w:rPr>
                <w:rFonts w:ascii="Calibri" w:eastAsia="Times New Roman" w:hAnsi="Calibri" w:cs="Calibri"/>
                <w:b/>
                <w:bCs/>
                <w:color w:val="FFFFFF"/>
                <w:lang w:eastAsia="sv-SE"/>
              </w:rPr>
              <w:t>16</w:t>
            </w:r>
          </w:p>
        </w:tc>
        <w:tc>
          <w:tcPr>
            <w:tcW w:w="682" w:type="dxa"/>
            <w:tcBorders>
              <w:top w:val="nil"/>
              <w:left w:val="single" w:sz="4" w:space="0" w:color="auto"/>
              <w:bottom w:val="single" w:sz="4" w:space="0" w:color="auto"/>
              <w:right w:val="nil"/>
            </w:tcBorders>
            <w:shd w:val="clear" w:color="000000" w:fill="EDEDED"/>
            <w:noWrap/>
            <w:vAlign w:val="bottom"/>
            <w:hideMark/>
          </w:tcPr>
          <w:p w14:paraId="13A51CDA"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single" w:sz="4" w:space="0" w:color="auto"/>
              <w:right w:val="nil"/>
            </w:tcBorders>
            <w:shd w:val="clear" w:color="000000" w:fill="FCE4D6"/>
            <w:noWrap/>
            <w:vAlign w:val="bottom"/>
            <w:hideMark/>
          </w:tcPr>
          <w:p w14:paraId="4050819B"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2,3</w:t>
            </w:r>
          </w:p>
        </w:tc>
        <w:tc>
          <w:tcPr>
            <w:tcW w:w="546" w:type="dxa"/>
            <w:tcBorders>
              <w:top w:val="nil"/>
              <w:left w:val="nil"/>
              <w:bottom w:val="single" w:sz="4" w:space="0" w:color="auto"/>
              <w:right w:val="nil"/>
            </w:tcBorders>
            <w:shd w:val="clear" w:color="000000" w:fill="FCE4D6"/>
            <w:noWrap/>
            <w:vAlign w:val="bottom"/>
            <w:hideMark/>
          </w:tcPr>
          <w:p w14:paraId="6B88E9C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4,3</w:t>
            </w:r>
          </w:p>
        </w:tc>
        <w:tc>
          <w:tcPr>
            <w:tcW w:w="546" w:type="dxa"/>
            <w:tcBorders>
              <w:top w:val="nil"/>
              <w:left w:val="nil"/>
              <w:bottom w:val="single" w:sz="4" w:space="0" w:color="auto"/>
              <w:right w:val="single" w:sz="4" w:space="0" w:color="auto"/>
            </w:tcBorders>
            <w:shd w:val="clear" w:color="000000" w:fill="FCE4D6"/>
            <w:noWrap/>
            <w:vAlign w:val="bottom"/>
            <w:hideMark/>
          </w:tcPr>
          <w:p w14:paraId="7E7E5D26"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5,7</w:t>
            </w:r>
          </w:p>
        </w:tc>
        <w:tc>
          <w:tcPr>
            <w:tcW w:w="682" w:type="dxa"/>
            <w:tcBorders>
              <w:top w:val="nil"/>
              <w:left w:val="nil"/>
              <w:bottom w:val="single" w:sz="4" w:space="0" w:color="auto"/>
              <w:right w:val="nil"/>
            </w:tcBorders>
            <w:shd w:val="clear" w:color="000000" w:fill="EDEDED"/>
            <w:noWrap/>
            <w:vAlign w:val="bottom"/>
            <w:hideMark/>
          </w:tcPr>
          <w:p w14:paraId="50C8686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single" w:sz="4" w:space="0" w:color="auto"/>
              <w:right w:val="nil"/>
            </w:tcBorders>
            <w:shd w:val="clear" w:color="000000" w:fill="FCE4D6"/>
            <w:noWrap/>
            <w:vAlign w:val="bottom"/>
            <w:hideMark/>
          </w:tcPr>
          <w:p w14:paraId="335AED8C"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1,9</w:t>
            </w:r>
          </w:p>
        </w:tc>
        <w:tc>
          <w:tcPr>
            <w:tcW w:w="546" w:type="dxa"/>
            <w:tcBorders>
              <w:top w:val="nil"/>
              <w:left w:val="nil"/>
              <w:bottom w:val="single" w:sz="4" w:space="0" w:color="auto"/>
              <w:right w:val="nil"/>
            </w:tcBorders>
            <w:shd w:val="clear" w:color="000000" w:fill="FCE4D6"/>
            <w:noWrap/>
            <w:vAlign w:val="bottom"/>
            <w:hideMark/>
          </w:tcPr>
          <w:p w14:paraId="4257E66E"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3,3</w:t>
            </w:r>
          </w:p>
        </w:tc>
        <w:tc>
          <w:tcPr>
            <w:tcW w:w="546" w:type="dxa"/>
            <w:tcBorders>
              <w:top w:val="nil"/>
              <w:left w:val="nil"/>
              <w:bottom w:val="single" w:sz="4" w:space="0" w:color="auto"/>
              <w:right w:val="single" w:sz="4" w:space="0" w:color="auto"/>
            </w:tcBorders>
            <w:shd w:val="clear" w:color="000000" w:fill="FCE4D6"/>
            <w:noWrap/>
            <w:vAlign w:val="bottom"/>
            <w:hideMark/>
          </w:tcPr>
          <w:p w14:paraId="412FEA3E"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4,3</w:t>
            </w:r>
          </w:p>
        </w:tc>
        <w:tc>
          <w:tcPr>
            <w:tcW w:w="682" w:type="dxa"/>
            <w:tcBorders>
              <w:top w:val="nil"/>
              <w:left w:val="nil"/>
              <w:bottom w:val="single" w:sz="4" w:space="0" w:color="auto"/>
              <w:right w:val="nil"/>
            </w:tcBorders>
            <w:shd w:val="clear" w:color="000000" w:fill="EDEDED"/>
            <w:noWrap/>
            <w:vAlign w:val="bottom"/>
            <w:hideMark/>
          </w:tcPr>
          <w:p w14:paraId="663A3605"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single" w:sz="4" w:space="0" w:color="auto"/>
              <w:right w:val="nil"/>
            </w:tcBorders>
            <w:shd w:val="clear" w:color="000000" w:fill="FCE4D6"/>
            <w:noWrap/>
            <w:vAlign w:val="bottom"/>
            <w:hideMark/>
          </w:tcPr>
          <w:p w14:paraId="6237546D"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1,4</w:t>
            </w:r>
          </w:p>
        </w:tc>
        <w:tc>
          <w:tcPr>
            <w:tcW w:w="546" w:type="dxa"/>
            <w:tcBorders>
              <w:top w:val="nil"/>
              <w:left w:val="nil"/>
              <w:bottom w:val="single" w:sz="4" w:space="0" w:color="auto"/>
              <w:right w:val="nil"/>
            </w:tcBorders>
            <w:shd w:val="clear" w:color="000000" w:fill="FCE4D6"/>
            <w:noWrap/>
            <w:vAlign w:val="bottom"/>
            <w:hideMark/>
          </w:tcPr>
          <w:p w14:paraId="7FAEC80A"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2,3</w:t>
            </w:r>
          </w:p>
        </w:tc>
        <w:tc>
          <w:tcPr>
            <w:tcW w:w="546" w:type="dxa"/>
            <w:tcBorders>
              <w:top w:val="nil"/>
              <w:left w:val="nil"/>
              <w:bottom w:val="single" w:sz="4" w:space="0" w:color="auto"/>
              <w:right w:val="single" w:sz="4" w:space="0" w:color="auto"/>
            </w:tcBorders>
            <w:shd w:val="clear" w:color="000000" w:fill="FCE4D6"/>
            <w:noWrap/>
            <w:vAlign w:val="bottom"/>
            <w:hideMark/>
          </w:tcPr>
          <w:p w14:paraId="6F3D1DCB"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2,9</w:t>
            </w:r>
          </w:p>
        </w:tc>
        <w:tc>
          <w:tcPr>
            <w:tcW w:w="682" w:type="dxa"/>
            <w:tcBorders>
              <w:top w:val="nil"/>
              <w:left w:val="nil"/>
              <w:bottom w:val="single" w:sz="4" w:space="0" w:color="auto"/>
              <w:right w:val="nil"/>
            </w:tcBorders>
            <w:shd w:val="clear" w:color="000000" w:fill="EDEDED"/>
            <w:noWrap/>
            <w:vAlign w:val="bottom"/>
            <w:hideMark/>
          </w:tcPr>
          <w:p w14:paraId="16ACDFD2"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N/A</w:t>
            </w:r>
          </w:p>
        </w:tc>
        <w:tc>
          <w:tcPr>
            <w:tcW w:w="546" w:type="dxa"/>
            <w:tcBorders>
              <w:top w:val="nil"/>
              <w:left w:val="nil"/>
              <w:bottom w:val="single" w:sz="4" w:space="0" w:color="auto"/>
              <w:right w:val="nil"/>
            </w:tcBorders>
            <w:shd w:val="clear" w:color="000000" w:fill="FCE4D6"/>
            <w:noWrap/>
            <w:vAlign w:val="bottom"/>
            <w:hideMark/>
          </w:tcPr>
          <w:p w14:paraId="01134480"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0,9</w:t>
            </w:r>
          </w:p>
        </w:tc>
        <w:tc>
          <w:tcPr>
            <w:tcW w:w="546" w:type="dxa"/>
            <w:tcBorders>
              <w:top w:val="nil"/>
              <w:left w:val="nil"/>
              <w:bottom w:val="single" w:sz="4" w:space="0" w:color="auto"/>
              <w:right w:val="nil"/>
            </w:tcBorders>
            <w:shd w:val="clear" w:color="000000" w:fill="FCE4D6"/>
            <w:noWrap/>
            <w:vAlign w:val="bottom"/>
            <w:hideMark/>
          </w:tcPr>
          <w:p w14:paraId="5B37815E" w14:textId="77777777" w:rsidR="002E03DD" w:rsidRPr="002E03DD" w:rsidRDefault="002E03DD" w:rsidP="002E03DD">
            <w:pPr>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1,5</w:t>
            </w:r>
          </w:p>
        </w:tc>
        <w:tc>
          <w:tcPr>
            <w:tcW w:w="546" w:type="dxa"/>
            <w:tcBorders>
              <w:top w:val="nil"/>
              <w:left w:val="nil"/>
              <w:bottom w:val="single" w:sz="4" w:space="0" w:color="auto"/>
              <w:right w:val="single" w:sz="4" w:space="0" w:color="auto"/>
            </w:tcBorders>
            <w:shd w:val="clear" w:color="000000" w:fill="FCE4D6"/>
            <w:noWrap/>
            <w:vAlign w:val="bottom"/>
            <w:hideMark/>
          </w:tcPr>
          <w:p w14:paraId="7B6AED0E" w14:textId="77777777" w:rsidR="002E03DD" w:rsidRPr="002E03DD" w:rsidRDefault="002E03DD" w:rsidP="002E03DD">
            <w:pPr>
              <w:keepNext/>
              <w:spacing w:after="0" w:line="240" w:lineRule="auto"/>
              <w:jc w:val="center"/>
              <w:rPr>
                <w:rFonts w:ascii="Calibri" w:eastAsia="Times New Roman" w:hAnsi="Calibri" w:cs="Calibri"/>
                <w:color w:val="000000"/>
                <w:lang w:eastAsia="sv-SE"/>
              </w:rPr>
            </w:pPr>
            <w:r w:rsidRPr="002E03DD">
              <w:rPr>
                <w:rFonts w:ascii="Calibri" w:eastAsia="Times New Roman" w:hAnsi="Calibri" w:cs="Calibri"/>
                <w:color w:val="000000"/>
                <w:lang w:eastAsia="sv-SE"/>
              </w:rPr>
              <w:t>1,8</w:t>
            </w:r>
          </w:p>
        </w:tc>
      </w:tr>
    </w:tbl>
    <w:p w14:paraId="0E773161" w14:textId="5C6C695A" w:rsidR="0032067A" w:rsidRDefault="002E03DD" w:rsidP="002E03DD">
      <w:pPr>
        <w:pStyle w:val="Caption"/>
        <w:rPr>
          <w:rFonts w:ascii="Arial" w:hAnsi="Arial" w:cs="Arial"/>
          <w:lang w:val="en-US"/>
        </w:rPr>
      </w:pPr>
      <w:bookmarkStart w:id="7" w:name="_Ref16756910"/>
      <w:r w:rsidRPr="00D34E87">
        <w:rPr>
          <w:lang w:val="en-US"/>
        </w:rPr>
        <w:t xml:space="preserve">Figure </w:t>
      </w:r>
      <w:r>
        <w:fldChar w:fldCharType="begin"/>
      </w:r>
      <w:r w:rsidRPr="00D34E87">
        <w:rPr>
          <w:lang w:val="en-US"/>
        </w:rPr>
        <w:instrText xml:space="preserve"> SEQ Figure \* ARABIC </w:instrText>
      </w:r>
      <w:r>
        <w:fldChar w:fldCharType="separate"/>
      </w:r>
      <w:r w:rsidR="00EB3DEC">
        <w:rPr>
          <w:noProof/>
          <w:lang w:val="en-US"/>
        </w:rPr>
        <w:t>4</w:t>
      </w:r>
      <w:r>
        <w:fldChar w:fldCharType="end"/>
      </w:r>
      <w:bookmarkEnd w:id="7"/>
      <w:r w:rsidR="00D34E87" w:rsidRPr="00D34E87">
        <w:rPr>
          <w:lang w:val="en-US"/>
        </w:rPr>
        <w:t xml:space="preserve">: </w:t>
      </w:r>
      <w:r w:rsidR="0068358B">
        <w:rPr>
          <w:lang w:val="en-US"/>
        </w:rPr>
        <w:t>Estimated coverage gain compared to single TB transmission</w:t>
      </w:r>
      <w:r w:rsidR="00D34E87" w:rsidRPr="00D34E87">
        <w:rPr>
          <w:lang w:val="en-US"/>
        </w:rPr>
        <w:t xml:space="preserve"> for different number of TBs and repetitions on MPDCCH and PUSCH</w:t>
      </w:r>
      <w:r w:rsidR="008E3464">
        <w:rPr>
          <w:lang w:val="en-US"/>
        </w:rPr>
        <w:t>.</w:t>
      </w:r>
    </w:p>
    <w:p w14:paraId="7637C09E" w14:textId="5D33274A" w:rsidR="003B55DD" w:rsidRDefault="003B55DD" w:rsidP="00145107">
      <w:pPr>
        <w:rPr>
          <w:rFonts w:ascii="Arial" w:hAnsi="Arial" w:cs="Arial"/>
          <w:lang w:val="en-US" w:eastAsia="en-GB"/>
        </w:rPr>
      </w:pPr>
      <w:r w:rsidRPr="0042395E">
        <w:rPr>
          <w:rFonts w:ascii="Arial" w:hAnsi="Arial" w:cs="Arial"/>
          <w:lang w:val="en-US" w:eastAsia="en-GB"/>
        </w:rPr>
        <w:t xml:space="preserve">It can be noted that also with only 2 TBs being allocated via one DCI, a significant gain is achieved, in the range of 0.5 to 2.3dB depending on number of repetitions on MPDCCH and PUSCH.   </w:t>
      </w:r>
    </w:p>
    <w:p w14:paraId="4E67D530" w14:textId="77777777" w:rsidR="00250B72" w:rsidRPr="0042395E" w:rsidRDefault="00250B72" w:rsidP="00250B72">
      <w:pPr>
        <w:rPr>
          <w:lang w:val="en-US" w:eastAsia="en-GB"/>
        </w:rPr>
      </w:pPr>
    </w:p>
    <w:p w14:paraId="152F8CE0" w14:textId="11CC2C21" w:rsidR="003B55DD" w:rsidRPr="0042395E" w:rsidRDefault="003B55DD" w:rsidP="003F4288">
      <w:pPr>
        <w:pStyle w:val="Observation"/>
        <w:jc w:val="left"/>
        <w:rPr>
          <w:lang w:val="en-US"/>
        </w:rPr>
      </w:pPr>
      <w:bookmarkStart w:id="8" w:name="_Toc16872195"/>
      <w:r w:rsidRPr="0042395E">
        <w:rPr>
          <w:lang w:val="en-US"/>
        </w:rPr>
        <w:t xml:space="preserve">A gain in the order of </w:t>
      </w:r>
      <w:r w:rsidRPr="0042395E">
        <w:rPr>
          <w:rFonts w:cs="Arial"/>
          <w:lang w:val="en-US" w:eastAsia="en-GB"/>
        </w:rPr>
        <w:t xml:space="preserve">0.5 to 2.3dB (depending on number of repetitions on MPDCCH and PUSCH) may be achieved when </w:t>
      </w:r>
      <w:r w:rsidRPr="0042395E">
        <w:rPr>
          <w:lang w:val="en-US"/>
        </w:rPr>
        <w:t>allocating 2 TBs with one DCI.</w:t>
      </w:r>
      <w:bookmarkEnd w:id="8"/>
    </w:p>
    <w:p w14:paraId="0FB15B7C" w14:textId="77777777" w:rsidR="00250B72" w:rsidRPr="0042395E" w:rsidRDefault="00250B72" w:rsidP="00250B72">
      <w:pPr>
        <w:pStyle w:val="Observation"/>
        <w:numPr>
          <w:ilvl w:val="0"/>
          <w:numId w:val="0"/>
        </w:numPr>
        <w:ind w:left="1701"/>
        <w:jc w:val="left"/>
        <w:rPr>
          <w:lang w:val="en-US"/>
        </w:rPr>
      </w:pPr>
    </w:p>
    <w:p w14:paraId="4AA679F7" w14:textId="4E68AA51" w:rsidR="00650D53" w:rsidRPr="0042395E" w:rsidRDefault="00484D82" w:rsidP="003F4288">
      <w:pPr>
        <w:rPr>
          <w:rFonts w:ascii="Arial" w:hAnsi="Arial" w:cs="Arial"/>
          <w:lang w:val="en-US"/>
        </w:rPr>
      </w:pPr>
      <w:r w:rsidRPr="0042395E">
        <w:rPr>
          <w:rFonts w:ascii="Arial" w:hAnsi="Arial" w:cs="Arial"/>
          <w:lang w:val="en-US"/>
        </w:rPr>
        <w:t xml:space="preserve">Scheduling of multiple TBs requires an increase of the size of the DCI. </w:t>
      </w:r>
      <w:r w:rsidR="00650D53" w:rsidRPr="0042395E">
        <w:rPr>
          <w:rFonts w:ascii="Arial" w:hAnsi="Arial" w:cs="Arial"/>
          <w:lang w:val="en-US"/>
        </w:rPr>
        <w:t xml:space="preserve">An overview of the reduced coverage with respect to 1% MPDCCH error rate for different number of </w:t>
      </w:r>
      <w:r w:rsidR="00B70D69" w:rsidRPr="0042395E">
        <w:rPr>
          <w:rFonts w:ascii="Arial" w:hAnsi="Arial" w:cs="Arial"/>
          <w:lang w:val="en-US"/>
        </w:rPr>
        <w:t xml:space="preserve">MPDCCH </w:t>
      </w:r>
      <w:r w:rsidR="00650D53" w:rsidRPr="0042395E">
        <w:rPr>
          <w:rFonts w:ascii="Arial" w:hAnsi="Arial" w:cs="Arial"/>
          <w:lang w:val="en-US"/>
        </w:rPr>
        <w:t xml:space="preserve">repetitions and additional bits to the DCI is </w:t>
      </w:r>
      <w:r w:rsidR="0096358D" w:rsidRPr="0042395E">
        <w:rPr>
          <w:rFonts w:ascii="Arial" w:hAnsi="Arial" w:cs="Arial"/>
          <w:lang w:val="en-US"/>
        </w:rPr>
        <w:t xml:space="preserve">presented in </w:t>
      </w:r>
      <w:r w:rsidR="0096358D" w:rsidRPr="0042395E">
        <w:rPr>
          <w:rFonts w:ascii="Arial" w:hAnsi="Arial" w:cs="Arial"/>
          <w:lang w:val="en-US"/>
        </w:rPr>
        <w:fldChar w:fldCharType="begin"/>
      </w:r>
      <w:r w:rsidR="0096358D" w:rsidRPr="0042395E">
        <w:rPr>
          <w:rFonts w:ascii="Arial" w:hAnsi="Arial" w:cs="Arial"/>
          <w:lang w:val="en-US"/>
        </w:rPr>
        <w:instrText xml:space="preserve"> REF _Ref14081582 \r \h </w:instrText>
      </w:r>
      <w:r w:rsidR="003F4288" w:rsidRPr="0042395E">
        <w:rPr>
          <w:rFonts w:ascii="Arial" w:hAnsi="Arial" w:cs="Arial"/>
          <w:lang w:val="en-US"/>
        </w:rPr>
        <w:instrText xml:space="preserve"> \* MERGEFORMAT </w:instrText>
      </w:r>
      <w:r w:rsidR="0096358D" w:rsidRPr="0042395E">
        <w:rPr>
          <w:rFonts w:ascii="Arial" w:hAnsi="Arial" w:cs="Arial"/>
          <w:lang w:val="en-US"/>
        </w:rPr>
      </w:r>
      <w:r w:rsidR="0096358D" w:rsidRPr="0042395E">
        <w:rPr>
          <w:rFonts w:ascii="Arial" w:hAnsi="Arial" w:cs="Arial"/>
          <w:lang w:val="en-US"/>
        </w:rPr>
        <w:fldChar w:fldCharType="separate"/>
      </w:r>
      <w:r w:rsidR="00EB3DEC">
        <w:rPr>
          <w:rFonts w:ascii="Arial" w:hAnsi="Arial" w:cs="Arial"/>
          <w:lang w:val="en-US"/>
        </w:rPr>
        <w:t>[4]</w:t>
      </w:r>
      <w:r w:rsidR="0096358D" w:rsidRPr="0042395E">
        <w:rPr>
          <w:rFonts w:ascii="Arial" w:hAnsi="Arial" w:cs="Arial"/>
          <w:lang w:val="en-US"/>
        </w:rPr>
        <w:fldChar w:fldCharType="end"/>
      </w:r>
      <w:r w:rsidR="0096358D" w:rsidRPr="0042395E">
        <w:rPr>
          <w:rFonts w:ascii="Arial" w:hAnsi="Arial" w:cs="Arial"/>
          <w:lang w:val="en-US"/>
        </w:rPr>
        <w:t xml:space="preserve">, and summarized in </w:t>
      </w:r>
      <w:r w:rsidR="00B70D69" w:rsidRPr="0042395E">
        <w:rPr>
          <w:rFonts w:ascii="Arial" w:hAnsi="Arial" w:cs="Arial"/>
          <w:lang w:val="en-US"/>
        </w:rPr>
        <w:fldChar w:fldCharType="begin"/>
      </w:r>
      <w:r w:rsidR="00B70D69" w:rsidRPr="0042395E">
        <w:rPr>
          <w:rFonts w:ascii="Arial" w:hAnsi="Arial" w:cs="Arial"/>
          <w:lang w:val="en-US"/>
        </w:rPr>
        <w:instrText xml:space="preserve"> REF _Ref14081840 \h  \* MERGEFORMAT </w:instrText>
      </w:r>
      <w:r w:rsidR="00B70D69" w:rsidRPr="0042395E">
        <w:rPr>
          <w:rFonts w:ascii="Arial" w:hAnsi="Arial" w:cs="Arial"/>
          <w:lang w:val="en-US"/>
        </w:rPr>
      </w:r>
      <w:r w:rsidR="00B70D69" w:rsidRPr="0042395E">
        <w:rPr>
          <w:rFonts w:ascii="Arial" w:hAnsi="Arial" w:cs="Arial"/>
          <w:lang w:val="en-US"/>
        </w:rPr>
        <w:fldChar w:fldCharType="separate"/>
      </w:r>
      <w:r w:rsidR="00EB3DEC" w:rsidRPr="00EB3DEC">
        <w:rPr>
          <w:rFonts w:ascii="Arial" w:hAnsi="Arial" w:cs="Arial"/>
          <w:lang w:val="en-US"/>
        </w:rPr>
        <w:t xml:space="preserve">Table </w:t>
      </w:r>
      <w:r w:rsidR="00EB3DEC" w:rsidRPr="00EB3DEC">
        <w:rPr>
          <w:rFonts w:ascii="Arial" w:hAnsi="Arial" w:cs="Arial"/>
          <w:noProof/>
          <w:lang w:val="en-US"/>
        </w:rPr>
        <w:t>1</w:t>
      </w:r>
      <w:r w:rsidR="00B70D69" w:rsidRPr="0042395E">
        <w:rPr>
          <w:rFonts w:ascii="Arial" w:hAnsi="Arial" w:cs="Arial"/>
          <w:lang w:val="en-US"/>
        </w:rPr>
        <w:fldChar w:fldCharType="end"/>
      </w:r>
      <w:r w:rsidR="00650D53" w:rsidRPr="0042395E">
        <w:rPr>
          <w:rFonts w:ascii="Arial" w:hAnsi="Arial" w:cs="Arial"/>
          <w:lang w:val="en-US"/>
        </w:rPr>
        <w:t>. With the addition of maximum 3 bits</w:t>
      </w:r>
      <w:r w:rsidR="00CD6D4B">
        <w:rPr>
          <w:rFonts w:ascii="Arial" w:hAnsi="Arial" w:cs="Arial"/>
          <w:lang w:val="en-US"/>
        </w:rPr>
        <w:t>,</w:t>
      </w:r>
      <w:r w:rsidR="00650D53" w:rsidRPr="0042395E">
        <w:rPr>
          <w:rFonts w:ascii="Arial" w:hAnsi="Arial" w:cs="Arial"/>
          <w:lang w:val="en-US"/>
        </w:rPr>
        <w:t xml:space="preserve"> the MPDCCH coverage is only affected by 0.19-0.26 dB, whereas for 12 bits addition</w:t>
      </w:r>
      <w:r w:rsidR="009E14DD">
        <w:rPr>
          <w:rFonts w:ascii="Arial" w:hAnsi="Arial" w:cs="Arial"/>
          <w:lang w:val="en-US"/>
        </w:rPr>
        <w:t>,</w:t>
      </w:r>
      <w:r w:rsidR="00650D53" w:rsidRPr="0042395E">
        <w:rPr>
          <w:rFonts w:ascii="Arial" w:hAnsi="Arial" w:cs="Arial"/>
          <w:lang w:val="en-US"/>
        </w:rPr>
        <w:t xml:space="preserve"> the MPDCCH coverage is reduced by 0.70-0.89 dB.</w:t>
      </w:r>
    </w:p>
    <w:p w14:paraId="6FA1CA1A" w14:textId="4E430626" w:rsidR="00650D53" w:rsidRPr="0042395E" w:rsidRDefault="00650D53" w:rsidP="003F4288">
      <w:pPr>
        <w:pStyle w:val="Observation"/>
        <w:jc w:val="left"/>
        <w:rPr>
          <w:lang w:val="en-US"/>
        </w:rPr>
      </w:pPr>
      <w:bookmarkStart w:id="9" w:name="_Toc16872196"/>
      <w:r w:rsidRPr="0042395E">
        <w:rPr>
          <w:lang w:val="en-US"/>
        </w:rPr>
        <w:t>Adding max 3 bits in the DCI reduces the MPDCCH coverage by 0.19-0.26 dB, whereas adding 12 bits reduces the MPDCCH coverage by 0.70-0.89 dB.</w:t>
      </w:r>
      <w:bookmarkEnd w:id="9"/>
    </w:p>
    <w:p w14:paraId="712947B4" w14:textId="545026AA" w:rsidR="004A1EB6" w:rsidRPr="0042395E" w:rsidRDefault="004A1EB6" w:rsidP="004A1EB6">
      <w:pPr>
        <w:pStyle w:val="Caption"/>
        <w:keepNext/>
        <w:jc w:val="center"/>
        <w:rPr>
          <w:lang w:val="en-US"/>
        </w:rPr>
      </w:pPr>
      <w:bookmarkStart w:id="10" w:name="_Ref14081840"/>
      <w:r w:rsidRPr="0042395E">
        <w:rPr>
          <w:lang w:val="en-US"/>
        </w:rPr>
        <w:lastRenderedPageBreak/>
        <w:t xml:space="preserve">Table </w:t>
      </w:r>
      <w:r w:rsidRPr="0042395E">
        <w:rPr>
          <w:lang w:val="en-US"/>
        </w:rPr>
        <w:fldChar w:fldCharType="begin"/>
      </w:r>
      <w:r w:rsidRPr="0042395E">
        <w:rPr>
          <w:lang w:val="en-US"/>
        </w:rPr>
        <w:instrText xml:space="preserve"> SEQ Table \* ARABIC </w:instrText>
      </w:r>
      <w:r w:rsidRPr="0042395E">
        <w:rPr>
          <w:lang w:val="en-US"/>
        </w:rPr>
        <w:fldChar w:fldCharType="separate"/>
      </w:r>
      <w:r w:rsidR="00EB3DEC">
        <w:rPr>
          <w:noProof/>
          <w:lang w:val="en-US"/>
        </w:rPr>
        <w:t>1</w:t>
      </w:r>
      <w:r w:rsidRPr="0042395E">
        <w:rPr>
          <w:lang w:val="en-US"/>
        </w:rPr>
        <w:fldChar w:fldCharType="end"/>
      </w:r>
      <w:bookmarkEnd w:id="10"/>
      <w:r w:rsidRPr="0042395E">
        <w:rPr>
          <w:lang w:val="en-US"/>
        </w:rPr>
        <w:t>: Impact of DCI size on MPDCCH coverage.</w:t>
      </w:r>
    </w:p>
    <w:tbl>
      <w:tblPr>
        <w:tblStyle w:val="TableGrid"/>
        <w:tblW w:w="8020" w:type="dxa"/>
        <w:jc w:val="center"/>
        <w:tblLook w:val="04A0" w:firstRow="1" w:lastRow="0" w:firstColumn="1" w:lastColumn="0" w:noHBand="0" w:noVBand="1"/>
      </w:tblPr>
      <w:tblGrid>
        <w:gridCol w:w="1604"/>
        <w:gridCol w:w="1604"/>
        <w:gridCol w:w="1604"/>
        <w:gridCol w:w="1604"/>
        <w:gridCol w:w="1604"/>
      </w:tblGrid>
      <w:tr w:rsidR="004A1EB6" w:rsidRPr="00EB3DEC" w14:paraId="17BA23C9" w14:textId="77777777" w:rsidTr="00343E64">
        <w:trPr>
          <w:jc w:val="center"/>
        </w:trPr>
        <w:tc>
          <w:tcPr>
            <w:tcW w:w="1604" w:type="dxa"/>
            <w:vMerge w:val="restart"/>
            <w:shd w:val="clear" w:color="auto" w:fill="595959" w:themeFill="text1" w:themeFillTint="A6"/>
          </w:tcPr>
          <w:p w14:paraId="57B0AD97"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MPDCCH repetitions</w:t>
            </w:r>
          </w:p>
        </w:tc>
        <w:tc>
          <w:tcPr>
            <w:tcW w:w="6416" w:type="dxa"/>
            <w:gridSpan w:val="4"/>
            <w:shd w:val="clear" w:color="auto" w:fill="595959" w:themeFill="text1" w:themeFillTint="A6"/>
          </w:tcPr>
          <w:p w14:paraId="30005498" w14:textId="58179819" w:rsidR="004A1EB6" w:rsidRPr="0042395E" w:rsidRDefault="004A1EB6" w:rsidP="00343E64">
            <w:pPr>
              <w:keepNext/>
              <w:keepLines/>
              <w:spacing w:after="0"/>
              <w:jc w:val="center"/>
              <w:rPr>
                <w:rFonts w:eastAsia="Calibri" w:cstheme="minorHAnsi"/>
                <w:b/>
                <w:color w:val="FFFFFF" w:themeColor="background1"/>
                <w:lang w:val="en-US" w:eastAsia="sv-SE"/>
              </w:rPr>
            </w:pPr>
            <w:r w:rsidRPr="0042395E">
              <w:rPr>
                <w:rFonts w:eastAsia="Calibri" w:cstheme="minorHAnsi"/>
                <w:b/>
                <w:color w:val="FFFFFF" w:themeColor="background1"/>
                <w:lang w:val="en-US" w:eastAsia="sv-SE"/>
              </w:rPr>
              <w:t xml:space="preserve">Additional bits </w:t>
            </w:r>
            <w:r w:rsidR="00970B83">
              <w:rPr>
                <w:rFonts w:eastAsia="Calibri" w:cstheme="minorHAnsi"/>
                <w:b/>
                <w:color w:val="FFFFFF" w:themeColor="background1"/>
                <w:lang w:val="en-US" w:eastAsia="sv-SE"/>
              </w:rPr>
              <w:t xml:space="preserve">on </w:t>
            </w:r>
            <w:r w:rsidRPr="0042395E">
              <w:rPr>
                <w:rFonts w:eastAsia="Calibri" w:cstheme="minorHAnsi"/>
                <w:b/>
                <w:color w:val="FFFFFF" w:themeColor="background1"/>
                <w:lang w:val="en-US" w:eastAsia="sv-SE"/>
              </w:rPr>
              <w:t>to</w:t>
            </w:r>
            <w:r w:rsidR="00970B83">
              <w:rPr>
                <w:rFonts w:eastAsia="Calibri" w:cstheme="minorHAnsi"/>
                <w:b/>
                <w:color w:val="FFFFFF" w:themeColor="background1"/>
                <w:lang w:val="en-US" w:eastAsia="sv-SE"/>
              </w:rPr>
              <w:t>p of</w:t>
            </w:r>
            <w:r w:rsidRPr="0042395E">
              <w:rPr>
                <w:rFonts w:eastAsia="Calibri" w:cstheme="minorHAnsi"/>
                <w:b/>
                <w:color w:val="FFFFFF" w:themeColor="background1"/>
                <w:lang w:val="en-US" w:eastAsia="sv-SE"/>
              </w:rPr>
              <w:t xml:space="preserve"> </w:t>
            </w:r>
            <w:r w:rsidR="0045430D">
              <w:rPr>
                <w:rFonts w:eastAsia="Calibri" w:cstheme="minorHAnsi"/>
                <w:b/>
                <w:color w:val="FFFFFF" w:themeColor="background1"/>
                <w:lang w:val="en-US" w:eastAsia="sv-SE"/>
              </w:rPr>
              <w:t>baseline</w:t>
            </w:r>
            <w:r w:rsidRPr="0042395E">
              <w:rPr>
                <w:rFonts w:eastAsia="Calibri" w:cstheme="minorHAnsi"/>
                <w:b/>
                <w:color w:val="FFFFFF" w:themeColor="background1"/>
                <w:lang w:val="en-US" w:eastAsia="sv-SE"/>
              </w:rPr>
              <w:t xml:space="preserve"> 29 bits for DCI</w:t>
            </w:r>
          </w:p>
        </w:tc>
      </w:tr>
      <w:tr w:rsidR="004A1EB6" w:rsidRPr="0042395E" w14:paraId="46F98C62" w14:textId="77777777" w:rsidTr="00343E64">
        <w:trPr>
          <w:trHeight w:val="108"/>
          <w:jc w:val="center"/>
        </w:trPr>
        <w:tc>
          <w:tcPr>
            <w:tcW w:w="1604" w:type="dxa"/>
            <w:vMerge/>
            <w:shd w:val="clear" w:color="auto" w:fill="595959" w:themeFill="text1" w:themeFillTint="A6"/>
          </w:tcPr>
          <w:p w14:paraId="5AFBA451" w14:textId="77777777" w:rsidR="004A1EB6" w:rsidRPr="0042395E" w:rsidRDefault="004A1EB6" w:rsidP="00343E64">
            <w:pPr>
              <w:keepNext/>
              <w:keepLines/>
              <w:spacing w:after="0"/>
              <w:rPr>
                <w:rFonts w:cstheme="minorHAnsi"/>
                <w:b/>
                <w:color w:val="FFFFFF" w:themeColor="background1"/>
                <w:lang w:val="en-US" w:eastAsia="zh-CN"/>
              </w:rPr>
            </w:pPr>
          </w:p>
        </w:tc>
        <w:tc>
          <w:tcPr>
            <w:tcW w:w="1604" w:type="dxa"/>
            <w:shd w:val="clear" w:color="auto" w:fill="595959" w:themeFill="text1" w:themeFillTint="A6"/>
          </w:tcPr>
          <w:p w14:paraId="02DBB084" w14:textId="77777777" w:rsidR="004A1EB6" w:rsidRPr="0042395E" w:rsidRDefault="004A1EB6" w:rsidP="00343E64">
            <w:pPr>
              <w:keepNext/>
              <w:keepLines/>
              <w:spacing w:after="0"/>
              <w:jc w:val="center"/>
              <w:rPr>
                <w:rFonts w:cstheme="minorHAnsi"/>
                <w:b/>
                <w:color w:val="FFFFFF" w:themeColor="background1"/>
                <w:lang w:val="en-US" w:eastAsia="zh-CN"/>
              </w:rPr>
            </w:pPr>
            <w:r w:rsidRPr="0042395E">
              <w:rPr>
                <w:rFonts w:eastAsia="Calibri" w:cstheme="minorHAnsi"/>
                <w:b/>
                <w:color w:val="FFFFFF" w:themeColor="background1"/>
                <w:lang w:val="en-US" w:eastAsia="sv-SE"/>
              </w:rPr>
              <w:t>+3</w:t>
            </w:r>
          </w:p>
        </w:tc>
        <w:tc>
          <w:tcPr>
            <w:tcW w:w="1604" w:type="dxa"/>
            <w:shd w:val="clear" w:color="auto" w:fill="595959" w:themeFill="text1" w:themeFillTint="A6"/>
          </w:tcPr>
          <w:p w14:paraId="410F5972" w14:textId="77777777" w:rsidR="004A1EB6" w:rsidRPr="0042395E" w:rsidRDefault="004A1EB6" w:rsidP="00343E64">
            <w:pPr>
              <w:keepNext/>
              <w:keepLines/>
              <w:spacing w:after="0"/>
              <w:jc w:val="center"/>
              <w:rPr>
                <w:rFonts w:cstheme="minorHAnsi"/>
                <w:b/>
                <w:color w:val="FFFFFF" w:themeColor="background1"/>
                <w:lang w:val="en-US" w:eastAsia="zh-CN"/>
              </w:rPr>
            </w:pPr>
            <w:r w:rsidRPr="0042395E">
              <w:rPr>
                <w:rFonts w:eastAsia="Calibri" w:cstheme="minorHAnsi"/>
                <w:b/>
                <w:color w:val="FFFFFF" w:themeColor="background1"/>
                <w:lang w:val="en-US" w:eastAsia="sv-SE"/>
              </w:rPr>
              <w:t>+6</w:t>
            </w:r>
          </w:p>
        </w:tc>
        <w:tc>
          <w:tcPr>
            <w:tcW w:w="1604" w:type="dxa"/>
            <w:shd w:val="clear" w:color="auto" w:fill="595959" w:themeFill="text1" w:themeFillTint="A6"/>
          </w:tcPr>
          <w:p w14:paraId="04E74BAD" w14:textId="77777777" w:rsidR="004A1EB6" w:rsidRPr="0042395E" w:rsidRDefault="004A1EB6" w:rsidP="00343E64">
            <w:pPr>
              <w:keepNext/>
              <w:keepLines/>
              <w:spacing w:after="0"/>
              <w:jc w:val="center"/>
              <w:rPr>
                <w:rFonts w:cstheme="minorHAnsi"/>
                <w:b/>
                <w:color w:val="FFFFFF" w:themeColor="background1"/>
                <w:lang w:val="en-US" w:eastAsia="zh-CN"/>
              </w:rPr>
            </w:pPr>
            <w:r w:rsidRPr="0042395E">
              <w:rPr>
                <w:rFonts w:eastAsia="Calibri" w:cstheme="minorHAnsi"/>
                <w:b/>
                <w:color w:val="FFFFFF" w:themeColor="background1"/>
                <w:lang w:val="en-US" w:eastAsia="sv-SE"/>
              </w:rPr>
              <w:t>+9</w:t>
            </w:r>
          </w:p>
        </w:tc>
        <w:tc>
          <w:tcPr>
            <w:tcW w:w="1604" w:type="dxa"/>
            <w:shd w:val="clear" w:color="auto" w:fill="595959" w:themeFill="text1" w:themeFillTint="A6"/>
          </w:tcPr>
          <w:p w14:paraId="384EED7C" w14:textId="77777777" w:rsidR="004A1EB6" w:rsidRPr="0042395E" w:rsidRDefault="004A1EB6" w:rsidP="00343E64">
            <w:pPr>
              <w:keepNext/>
              <w:keepLines/>
              <w:spacing w:after="0"/>
              <w:jc w:val="center"/>
              <w:rPr>
                <w:rFonts w:cstheme="minorHAnsi"/>
                <w:b/>
                <w:color w:val="FFFFFF" w:themeColor="background1"/>
                <w:lang w:val="en-US" w:eastAsia="zh-CN"/>
              </w:rPr>
            </w:pPr>
            <w:r w:rsidRPr="0042395E">
              <w:rPr>
                <w:rFonts w:eastAsia="Calibri" w:cstheme="minorHAnsi"/>
                <w:b/>
                <w:color w:val="FFFFFF" w:themeColor="background1"/>
                <w:lang w:val="en-US" w:eastAsia="sv-SE"/>
              </w:rPr>
              <w:t>+12</w:t>
            </w:r>
          </w:p>
        </w:tc>
      </w:tr>
      <w:tr w:rsidR="004A1EB6" w:rsidRPr="0042395E" w14:paraId="1FF880C7" w14:textId="77777777" w:rsidTr="00343E64">
        <w:trPr>
          <w:jc w:val="center"/>
        </w:trPr>
        <w:tc>
          <w:tcPr>
            <w:tcW w:w="1604" w:type="dxa"/>
            <w:shd w:val="clear" w:color="auto" w:fill="595959" w:themeFill="text1" w:themeFillTint="A6"/>
          </w:tcPr>
          <w:p w14:paraId="6E8B5960"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eastAsia="Calibri" w:cstheme="minorHAnsi"/>
                <w:b/>
                <w:color w:val="FFFFFF" w:themeColor="background1"/>
                <w:lang w:val="en-US" w:eastAsia="sv-SE"/>
              </w:rPr>
              <w:t>1</w:t>
            </w:r>
          </w:p>
        </w:tc>
        <w:tc>
          <w:tcPr>
            <w:tcW w:w="1604" w:type="dxa"/>
          </w:tcPr>
          <w:p w14:paraId="72F0A68B"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0.23</w:t>
            </w:r>
          </w:p>
        </w:tc>
        <w:tc>
          <w:tcPr>
            <w:tcW w:w="1604" w:type="dxa"/>
          </w:tcPr>
          <w:p w14:paraId="15320747"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0.46</w:t>
            </w:r>
          </w:p>
        </w:tc>
        <w:tc>
          <w:tcPr>
            <w:tcW w:w="1604" w:type="dxa"/>
          </w:tcPr>
          <w:p w14:paraId="3B4DEE1C"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0.67</w:t>
            </w:r>
          </w:p>
        </w:tc>
        <w:tc>
          <w:tcPr>
            <w:tcW w:w="1604" w:type="dxa"/>
          </w:tcPr>
          <w:p w14:paraId="37B46E4E"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0.89</w:t>
            </w:r>
          </w:p>
        </w:tc>
      </w:tr>
      <w:tr w:rsidR="004A1EB6" w:rsidRPr="0042395E" w14:paraId="7F45FDBE" w14:textId="77777777" w:rsidTr="00343E64">
        <w:trPr>
          <w:jc w:val="center"/>
        </w:trPr>
        <w:tc>
          <w:tcPr>
            <w:tcW w:w="1604" w:type="dxa"/>
            <w:shd w:val="clear" w:color="auto" w:fill="595959" w:themeFill="text1" w:themeFillTint="A6"/>
          </w:tcPr>
          <w:p w14:paraId="1B710EFD"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2</w:t>
            </w:r>
          </w:p>
        </w:tc>
        <w:tc>
          <w:tcPr>
            <w:tcW w:w="1604" w:type="dxa"/>
          </w:tcPr>
          <w:p w14:paraId="5B58B854"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0.20</w:t>
            </w:r>
          </w:p>
        </w:tc>
        <w:tc>
          <w:tcPr>
            <w:tcW w:w="1604" w:type="dxa"/>
          </w:tcPr>
          <w:p w14:paraId="75A46619"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0.42</w:t>
            </w:r>
          </w:p>
        </w:tc>
        <w:tc>
          <w:tcPr>
            <w:tcW w:w="1604" w:type="dxa"/>
          </w:tcPr>
          <w:p w14:paraId="3EEDC963"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0.63</w:t>
            </w:r>
          </w:p>
        </w:tc>
        <w:tc>
          <w:tcPr>
            <w:tcW w:w="1604" w:type="dxa"/>
          </w:tcPr>
          <w:p w14:paraId="4353C1FE"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0.82</w:t>
            </w:r>
          </w:p>
        </w:tc>
      </w:tr>
      <w:tr w:rsidR="004A1EB6" w:rsidRPr="0042395E" w14:paraId="3B014E24" w14:textId="77777777" w:rsidTr="00343E64">
        <w:trPr>
          <w:jc w:val="center"/>
        </w:trPr>
        <w:tc>
          <w:tcPr>
            <w:tcW w:w="1604" w:type="dxa"/>
            <w:shd w:val="clear" w:color="auto" w:fill="595959" w:themeFill="text1" w:themeFillTint="A6"/>
          </w:tcPr>
          <w:p w14:paraId="3B246560"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4</w:t>
            </w:r>
          </w:p>
        </w:tc>
        <w:tc>
          <w:tcPr>
            <w:tcW w:w="1604" w:type="dxa"/>
          </w:tcPr>
          <w:p w14:paraId="7E51D762"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0.19</w:t>
            </w:r>
          </w:p>
        </w:tc>
        <w:tc>
          <w:tcPr>
            <w:tcW w:w="1604" w:type="dxa"/>
          </w:tcPr>
          <w:p w14:paraId="24C0BDB2"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0.42</w:t>
            </w:r>
          </w:p>
        </w:tc>
        <w:tc>
          <w:tcPr>
            <w:tcW w:w="1604" w:type="dxa"/>
          </w:tcPr>
          <w:p w14:paraId="113A0925"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0.56</w:t>
            </w:r>
          </w:p>
        </w:tc>
        <w:tc>
          <w:tcPr>
            <w:tcW w:w="1604" w:type="dxa"/>
          </w:tcPr>
          <w:p w14:paraId="7A7D7BBF"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0.75</w:t>
            </w:r>
          </w:p>
        </w:tc>
      </w:tr>
      <w:tr w:rsidR="004A1EB6" w:rsidRPr="0042395E" w14:paraId="0D2B270D" w14:textId="77777777" w:rsidTr="00343E64">
        <w:trPr>
          <w:jc w:val="center"/>
        </w:trPr>
        <w:tc>
          <w:tcPr>
            <w:tcW w:w="1604" w:type="dxa"/>
            <w:shd w:val="clear" w:color="auto" w:fill="595959" w:themeFill="text1" w:themeFillTint="A6"/>
          </w:tcPr>
          <w:p w14:paraId="3C1F8961"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8</w:t>
            </w:r>
          </w:p>
        </w:tc>
        <w:tc>
          <w:tcPr>
            <w:tcW w:w="1604" w:type="dxa"/>
          </w:tcPr>
          <w:p w14:paraId="20E620F6"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0.22</w:t>
            </w:r>
          </w:p>
        </w:tc>
        <w:tc>
          <w:tcPr>
            <w:tcW w:w="1604" w:type="dxa"/>
          </w:tcPr>
          <w:p w14:paraId="378B4539"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0.41</w:t>
            </w:r>
          </w:p>
        </w:tc>
        <w:tc>
          <w:tcPr>
            <w:tcW w:w="1604" w:type="dxa"/>
          </w:tcPr>
          <w:p w14:paraId="74EB7CF6"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0.61</w:t>
            </w:r>
          </w:p>
        </w:tc>
        <w:tc>
          <w:tcPr>
            <w:tcW w:w="1604" w:type="dxa"/>
          </w:tcPr>
          <w:p w14:paraId="0925E0BB"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0.76</w:t>
            </w:r>
          </w:p>
        </w:tc>
      </w:tr>
      <w:tr w:rsidR="004A1EB6" w:rsidRPr="0042395E" w14:paraId="59FE4F7B" w14:textId="77777777" w:rsidTr="00343E64">
        <w:trPr>
          <w:jc w:val="center"/>
        </w:trPr>
        <w:tc>
          <w:tcPr>
            <w:tcW w:w="1604" w:type="dxa"/>
            <w:shd w:val="clear" w:color="auto" w:fill="595959" w:themeFill="text1" w:themeFillTint="A6"/>
          </w:tcPr>
          <w:p w14:paraId="4B85CB47"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16</w:t>
            </w:r>
          </w:p>
        </w:tc>
        <w:tc>
          <w:tcPr>
            <w:tcW w:w="1604" w:type="dxa"/>
          </w:tcPr>
          <w:p w14:paraId="66D44D6A"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0.20</w:t>
            </w:r>
          </w:p>
        </w:tc>
        <w:tc>
          <w:tcPr>
            <w:tcW w:w="1604" w:type="dxa"/>
          </w:tcPr>
          <w:p w14:paraId="79AAC78D"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0.40</w:t>
            </w:r>
          </w:p>
        </w:tc>
        <w:tc>
          <w:tcPr>
            <w:tcW w:w="1604" w:type="dxa"/>
          </w:tcPr>
          <w:p w14:paraId="27B66994"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0.58</w:t>
            </w:r>
          </w:p>
        </w:tc>
        <w:tc>
          <w:tcPr>
            <w:tcW w:w="1604" w:type="dxa"/>
          </w:tcPr>
          <w:p w14:paraId="1BFD2843"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0.70</w:t>
            </w:r>
          </w:p>
        </w:tc>
      </w:tr>
      <w:tr w:rsidR="004A1EB6" w:rsidRPr="0042395E" w14:paraId="53B1E778" w14:textId="77777777" w:rsidTr="00343E64">
        <w:trPr>
          <w:jc w:val="center"/>
        </w:trPr>
        <w:tc>
          <w:tcPr>
            <w:tcW w:w="1604" w:type="dxa"/>
            <w:shd w:val="clear" w:color="auto" w:fill="595959" w:themeFill="text1" w:themeFillTint="A6"/>
          </w:tcPr>
          <w:p w14:paraId="0C3C03EB" w14:textId="77777777" w:rsidR="004A1EB6" w:rsidRPr="0042395E" w:rsidRDefault="004A1EB6" w:rsidP="00343E64">
            <w:pPr>
              <w:keepNext/>
              <w:keepLines/>
              <w:spacing w:after="0"/>
              <w:rPr>
                <w:rFonts w:cstheme="minorHAnsi"/>
                <w:b/>
                <w:color w:val="FFFFFF" w:themeColor="background1"/>
                <w:lang w:val="en-US" w:eastAsia="zh-CN"/>
              </w:rPr>
            </w:pPr>
            <w:r w:rsidRPr="0042395E">
              <w:rPr>
                <w:rFonts w:cstheme="minorHAnsi"/>
                <w:b/>
                <w:color w:val="FFFFFF" w:themeColor="background1"/>
                <w:lang w:val="en-US" w:eastAsia="zh-CN"/>
              </w:rPr>
              <w:t>32</w:t>
            </w:r>
          </w:p>
        </w:tc>
        <w:tc>
          <w:tcPr>
            <w:tcW w:w="1604" w:type="dxa"/>
          </w:tcPr>
          <w:p w14:paraId="756F06DD"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0.26</w:t>
            </w:r>
          </w:p>
        </w:tc>
        <w:tc>
          <w:tcPr>
            <w:tcW w:w="1604" w:type="dxa"/>
          </w:tcPr>
          <w:p w14:paraId="3F674AD7"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0.45</w:t>
            </w:r>
          </w:p>
        </w:tc>
        <w:tc>
          <w:tcPr>
            <w:tcW w:w="1604" w:type="dxa"/>
          </w:tcPr>
          <w:p w14:paraId="78AEEC00"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0.51</w:t>
            </w:r>
          </w:p>
        </w:tc>
        <w:tc>
          <w:tcPr>
            <w:tcW w:w="1604" w:type="dxa"/>
          </w:tcPr>
          <w:p w14:paraId="69A0AA4B" w14:textId="77777777" w:rsidR="004A1EB6" w:rsidRPr="0042395E" w:rsidRDefault="004A1EB6" w:rsidP="00343E64">
            <w:pPr>
              <w:keepNext/>
              <w:keepLines/>
              <w:spacing w:after="0"/>
              <w:jc w:val="center"/>
              <w:rPr>
                <w:rFonts w:cstheme="minorHAnsi"/>
                <w:lang w:val="en-US" w:eastAsia="zh-CN"/>
              </w:rPr>
            </w:pPr>
            <w:r w:rsidRPr="0042395E">
              <w:rPr>
                <w:rFonts w:eastAsia="Calibri" w:cstheme="minorHAnsi"/>
                <w:lang w:val="en-US" w:eastAsia="sv-SE"/>
              </w:rPr>
              <w:t>0.73</w:t>
            </w:r>
          </w:p>
        </w:tc>
      </w:tr>
    </w:tbl>
    <w:p w14:paraId="0AB76588" w14:textId="77777777" w:rsidR="002728EA" w:rsidRPr="0042395E" w:rsidRDefault="002728EA" w:rsidP="003F4288">
      <w:pPr>
        <w:rPr>
          <w:rFonts w:ascii="Arial" w:hAnsi="Arial" w:cs="Arial"/>
          <w:lang w:val="en-US"/>
        </w:rPr>
      </w:pPr>
    </w:p>
    <w:p w14:paraId="520717BB" w14:textId="61DE5EF8" w:rsidR="00F2221B" w:rsidRPr="0042395E" w:rsidRDefault="008971CE" w:rsidP="003F4288">
      <w:pPr>
        <w:rPr>
          <w:rFonts w:ascii="Arial" w:hAnsi="Arial" w:cs="Arial"/>
          <w:lang w:val="en-US"/>
        </w:rPr>
      </w:pPr>
      <w:r w:rsidRPr="0042395E">
        <w:rPr>
          <w:rFonts w:ascii="Arial" w:hAnsi="Arial" w:cs="Arial"/>
          <w:lang w:val="en-US"/>
        </w:rPr>
        <w:t xml:space="preserve">Several information fields have been identified to be common for all TBs being scheduled </w:t>
      </w:r>
      <w:r w:rsidR="00B26D9E">
        <w:rPr>
          <w:rFonts w:ascii="Arial" w:hAnsi="Arial" w:cs="Arial"/>
          <w:lang w:val="en-US"/>
        </w:rPr>
        <w:t>by</w:t>
      </w:r>
      <w:r w:rsidRPr="0042395E">
        <w:rPr>
          <w:rFonts w:ascii="Arial" w:hAnsi="Arial" w:cs="Arial"/>
          <w:lang w:val="en-US"/>
        </w:rPr>
        <w:t xml:space="preserve"> one DCI. </w:t>
      </w:r>
      <w:r w:rsidR="00F2221B" w:rsidRPr="0042395E">
        <w:rPr>
          <w:rFonts w:ascii="Arial" w:hAnsi="Arial" w:cs="Arial"/>
          <w:lang w:val="en-US"/>
        </w:rPr>
        <w:t xml:space="preserve">However, at least the new data indicator (NDI) and the redundancy version </w:t>
      </w:r>
      <w:r w:rsidR="0051152C">
        <w:rPr>
          <w:rFonts w:ascii="Arial" w:hAnsi="Arial" w:cs="Arial"/>
          <w:lang w:val="en-US"/>
        </w:rPr>
        <w:t xml:space="preserve">(RV) </w:t>
      </w:r>
      <w:r w:rsidR="00F2221B" w:rsidRPr="0042395E">
        <w:rPr>
          <w:rFonts w:ascii="Arial" w:hAnsi="Arial" w:cs="Arial"/>
          <w:lang w:val="en-US"/>
        </w:rPr>
        <w:t>index need further consideration.</w:t>
      </w:r>
      <w:r w:rsidR="00854AB5" w:rsidRPr="0042395E">
        <w:rPr>
          <w:rFonts w:ascii="Arial" w:hAnsi="Arial" w:cs="Arial"/>
          <w:lang w:val="en-US"/>
        </w:rPr>
        <w:t xml:space="preserve"> </w:t>
      </w:r>
    </w:p>
    <w:p w14:paraId="1E6751AA" w14:textId="0FBEFECE" w:rsidR="00DC10B0" w:rsidRPr="0042395E" w:rsidRDefault="00E31379" w:rsidP="003F4288">
      <w:pPr>
        <w:rPr>
          <w:rFonts w:ascii="Arial" w:hAnsi="Arial" w:cs="Arial"/>
          <w:lang w:val="en-US"/>
        </w:rPr>
      </w:pPr>
      <w:r w:rsidRPr="0042395E">
        <w:rPr>
          <w:rFonts w:ascii="Arial" w:hAnsi="Arial" w:cs="Arial"/>
          <w:lang w:val="en-US"/>
        </w:rPr>
        <w:t xml:space="preserve">If </w:t>
      </w:r>
      <w:r w:rsidR="00473B3B" w:rsidRPr="0042395E">
        <w:rPr>
          <w:rFonts w:ascii="Arial" w:hAnsi="Arial" w:cs="Arial"/>
          <w:lang w:val="en-US"/>
        </w:rPr>
        <w:t xml:space="preserve">a maximum of </w:t>
      </w:r>
      <w:r w:rsidRPr="0042395E">
        <w:rPr>
          <w:rFonts w:ascii="Arial" w:hAnsi="Arial" w:cs="Arial"/>
          <w:lang w:val="en-US"/>
        </w:rPr>
        <w:t xml:space="preserve">eight TBs </w:t>
      </w:r>
      <w:r w:rsidR="00D81FD6" w:rsidRPr="0042395E">
        <w:rPr>
          <w:rFonts w:ascii="Arial" w:hAnsi="Arial" w:cs="Arial"/>
          <w:lang w:val="en-US"/>
        </w:rPr>
        <w:t>is</w:t>
      </w:r>
      <w:r w:rsidR="00017808" w:rsidRPr="0042395E">
        <w:rPr>
          <w:rFonts w:ascii="Arial" w:hAnsi="Arial" w:cs="Arial"/>
          <w:lang w:val="en-US"/>
        </w:rPr>
        <w:t xml:space="preserve"> scheduled, this requires 8 bits in the DCI</w:t>
      </w:r>
      <w:r w:rsidR="00B9751D" w:rsidRPr="0042395E">
        <w:rPr>
          <w:rFonts w:ascii="Arial" w:hAnsi="Arial" w:cs="Arial"/>
          <w:lang w:val="en-US"/>
        </w:rPr>
        <w:t xml:space="preserve"> to convey the new data indicator.</w:t>
      </w:r>
      <w:r w:rsidR="00673934" w:rsidRPr="0042395E">
        <w:rPr>
          <w:rFonts w:ascii="Arial" w:hAnsi="Arial" w:cs="Arial"/>
          <w:lang w:val="en-US"/>
        </w:rPr>
        <w:t xml:space="preserve"> With an RRC configured maximum number of scheduled TBs, th</w:t>
      </w:r>
      <w:r w:rsidR="00363D92" w:rsidRPr="0042395E">
        <w:rPr>
          <w:rFonts w:ascii="Arial" w:hAnsi="Arial" w:cs="Arial"/>
          <w:lang w:val="en-US"/>
        </w:rPr>
        <w:t>e number of bits</w:t>
      </w:r>
      <w:r w:rsidR="00673934" w:rsidRPr="0042395E">
        <w:rPr>
          <w:rFonts w:ascii="Arial" w:hAnsi="Arial" w:cs="Arial"/>
          <w:lang w:val="en-US"/>
        </w:rPr>
        <w:t xml:space="preserve"> </w:t>
      </w:r>
      <w:r w:rsidR="003E26E9" w:rsidRPr="0042395E">
        <w:rPr>
          <w:rFonts w:ascii="Arial" w:hAnsi="Arial" w:cs="Arial"/>
          <w:lang w:val="en-US"/>
        </w:rPr>
        <w:t xml:space="preserve">may be limited to the actual </w:t>
      </w:r>
      <w:r w:rsidR="00D81FD6" w:rsidRPr="0042395E">
        <w:rPr>
          <w:rFonts w:ascii="Arial" w:hAnsi="Arial" w:cs="Arial"/>
          <w:lang w:val="en-US"/>
        </w:rPr>
        <w:t xml:space="preserve">maximum </w:t>
      </w:r>
      <w:r w:rsidR="003E26E9" w:rsidRPr="0042395E">
        <w:rPr>
          <w:rFonts w:ascii="Arial" w:hAnsi="Arial" w:cs="Arial"/>
          <w:lang w:val="en-US"/>
        </w:rPr>
        <w:t xml:space="preserve">number of TBs </w:t>
      </w:r>
      <w:r w:rsidR="00B93A31" w:rsidRPr="0042395E">
        <w:rPr>
          <w:rFonts w:ascii="Arial" w:hAnsi="Arial" w:cs="Arial"/>
          <w:lang w:val="en-US"/>
        </w:rPr>
        <w:t xml:space="preserve">that are suitable </w:t>
      </w:r>
      <w:r w:rsidR="003E26E9" w:rsidRPr="0042395E">
        <w:rPr>
          <w:rFonts w:ascii="Arial" w:hAnsi="Arial" w:cs="Arial"/>
          <w:lang w:val="en-US"/>
        </w:rPr>
        <w:t>for the traffic conditions that are considered</w:t>
      </w:r>
      <w:r w:rsidR="006A4880" w:rsidRPr="0042395E">
        <w:rPr>
          <w:rFonts w:ascii="Arial" w:hAnsi="Arial" w:cs="Arial"/>
          <w:lang w:val="en-US"/>
        </w:rPr>
        <w:t xml:space="preserve">, </w:t>
      </w:r>
      <w:r w:rsidR="00DC774D" w:rsidRPr="0042395E">
        <w:rPr>
          <w:rFonts w:ascii="Arial" w:hAnsi="Arial" w:cs="Arial"/>
          <w:lang w:val="en-US"/>
        </w:rPr>
        <w:t>thus reducing the</w:t>
      </w:r>
      <w:r w:rsidR="00363D92" w:rsidRPr="0042395E">
        <w:rPr>
          <w:rFonts w:ascii="Arial" w:hAnsi="Arial" w:cs="Arial"/>
          <w:lang w:val="en-US"/>
        </w:rPr>
        <w:t xml:space="preserve"> impact on the DCI size</w:t>
      </w:r>
      <w:r w:rsidR="00206BC1">
        <w:rPr>
          <w:rFonts w:ascii="Arial" w:hAnsi="Arial" w:cs="Arial"/>
          <w:lang w:val="en-US"/>
        </w:rPr>
        <w:t>.</w:t>
      </w:r>
      <w:r w:rsidR="001D07F0" w:rsidRPr="0042395E">
        <w:rPr>
          <w:rFonts w:ascii="Arial" w:hAnsi="Arial" w:cs="Arial"/>
          <w:lang w:val="en-US"/>
        </w:rPr>
        <w:t xml:space="preserve"> </w:t>
      </w:r>
    </w:p>
    <w:p w14:paraId="7E1A6AC5" w14:textId="0FF36EAB" w:rsidR="0082637F" w:rsidRPr="0042395E" w:rsidRDefault="0082637F" w:rsidP="0082637F">
      <w:pPr>
        <w:rPr>
          <w:rFonts w:ascii="Arial" w:hAnsi="Arial" w:cs="Arial"/>
          <w:lang w:val="en-US"/>
        </w:rPr>
      </w:pPr>
      <w:r w:rsidRPr="0042395E">
        <w:rPr>
          <w:rFonts w:ascii="Arial" w:hAnsi="Arial" w:cs="Arial"/>
          <w:lang w:val="en-US"/>
        </w:rPr>
        <w:t xml:space="preserve">As an example, if the traffic conditions are such that scheduling of no more than two TBs with one DCI is suitable, this will reduce the impact of the increased DCI size from </w:t>
      </w:r>
      <w:r w:rsidR="00D27368">
        <w:rPr>
          <w:rFonts w:ascii="Arial" w:hAnsi="Arial" w:cs="Arial"/>
          <w:lang w:val="en-US"/>
        </w:rPr>
        <w:t>7 bits</w:t>
      </w:r>
      <w:r w:rsidRPr="0042395E">
        <w:rPr>
          <w:rFonts w:ascii="Arial" w:hAnsi="Arial" w:cs="Arial"/>
          <w:lang w:val="en-US"/>
        </w:rPr>
        <w:t xml:space="preserve"> to </w:t>
      </w:r>
      <w:r w:rsidR="00D27368">
        <w:rPr>
          <w:rFonts w:ascii="Arial" w:hAnsi="Arial" w:cs="Arial"/>
          <w:lang w:val="en-US"/>
        </w:rPr>
        <w:t>1</w:t>
      </w:r>
      <w:r w:rsidRPr="0042395E">
        <w:rPr>
          <w:rFonts w:ascii="Arial" w:hAnsi="Arial" w:cs="Arial"/>
          <w:lang w:val="en-US"/>
        </w:rPr>
        <w:t xml:space="preserve"> bit</w:t>
      </w:r>
      <w:r w:rsidR="00D27368">
        <w:rPr>
          <w:rFonts w:ascii="Arial" w:hAnsi="Arial" w:cs="Arial"/>
          <w:lang w:val="en-US"/>
        </w:rPr>
        <w:t xml:space="preserve"> with respect to new data indication</w:t>
      </w:r>
      <w:r w:rsidRPr="0042395E">
        <w:rPr>
          <w:rFonts w:ascii="Arial" w:hAnsi="Arial" w:cs="Arial"/>
          <w:lang w:val="en-US"/>
        </w:rPr>
        <w:t>, thus allowing for a considerably smaller DCI, and better MPDCCH coverage.</w:t>
      </w:r>
    </w:p>
    <w:p w14:paraId="7A8FEA3F" w14:textId="6A6B98E1" w:rsidR="0082637F" w:rsidRPr="0042395E" w:rsidRDefault="002F0758" w:rsidP="003F4288">
      <w:pPr>
        <w:rPr>
          <w:rFonts w:ascii="Arial" w:hAnsi="Arial" w:cs="Arial"/>
          <w:lang w:val="en-US"/>
        </w:rPr>
      </w:pPr>
      <w:r w:rsidRPr="0042395E">
        <w:rPr>
          <w:rFonts w:ascii="Arial" w:hAnsi="Arial" w:cs="Arial"/>
          <w:lang w:val="en-US"/>
        </w:rPr>
        <w:t>B</w:t>
      </w:r>
      <w:r w:rsidR="00AB1425" w:rsidRPr="0042395E">
        <w:rPr>
          <w:rFonts w:ascii="Arial" w:hAnsi="Arial" w:cs="Arial"/>
          <w:lang w:val="en-US"/>
        </w:rPr>
        <w:t>ased on that a significant gain with respect to PUSCH</w:t>
      </w:r>
      <w:r w:rsidRPr="0042395E">
        <w:rPr>
          <w:rFonts w:ascii="Arial" w:hAnsi="Arial" w:cs="Arial"/>
          <w:lang w:val="en-US"/>
        </w:rPr>
        <w:t>/</w:t>
      </w:r>
      <w:r w:rsidR="00AB1425" w:rsidRPr="0042395E">
        <w:rPr>
          <w:rFonts w:ascii="Arial" w:hAnsi="Arial" w:cs="Arial"/>
          <w:lang w:val="en-US"/>
        </w:rPr>
        <w:t xml:space="preserve">PDSCH coverage can be obtained also with 2 or 4 TBs allocated via one DCI, and that </w:t>
      </w:r>
      <w:r w:rsidRPr="0042395E">
        <w:rPr>
          <w:rFonts w:ascii="Arial" w:hAnsi="Arial" w:cs="Arial"/>
          <w:lang w:val="en-US"/>
        </w:rPr>
        <w:t>limiting the maximum number of allocated TB</w:t>
      </w:r>
      <w:r w:rsidR="009A5C31" w:rsidRPr="0042395E">
        <w:rPr>
          <w:rFonts w:ascii="Arial" w:hAnsi="Arial" w:cs="Arial"/>
          <w:lang w:val="en-US"/>
        </w:rPr>
        <w:t>s may provide a significant reduction in the size of the DCI, it is proposed that the maximum number of TBs allocated with one DCI is RRC configured in the set {2, 4, 8}.</w:t>
      </w:r>
      <w:r w:rsidR="00AB1425" w:rsidRPr="0042395E">
        <w:rPr>
          <w:rFonts w:ascii="Arial" w:hAnsi="Arial" w:cs="Arial"/>
          <w:lang w:val="en-US"/>
        </w:rPr>
        <w:t xml:space="preserve"> </w:t>
      </w:r>
    </w:p>
    <w:p w14:paraId="19DD16CF" w14:textId="5A72C8CD" w:rsidR="00B03330" w:rsidRPr="0042395E" w:rsidRDefault="009F2FC6" w:rsidP="007A2E98">
      <w:pPr>
        <w:pStyle w:val="Proposal"/>
        <w:jc w:val="left"/>
        <w:rPr>
          <w:lang w:val="en-US"/>
        </w:rPr>
      </w:pPr>
      <w:bookmarkStart w:id="11" w:name="_Toc16872200"/>
      <w:r w:rsidRPr="0042395E">
        <w:rPr>
          <w:lang w:val="en-US"/>
        </w:rPr>
        <w:t>For unicast, t</w:t>
      </w:r>
      <w:r w:rsidR="00BC2096" w:rsidRPr="0042395E">
        <w:rPr>
          <w:lang w:val="en-US"/>
        </w:rPr>
        <w:t xml:space="preserve">he </w:t>
      </w:r>
      <w:r w:rsidR="000D46C0" w:rsidRPr="0042395E">
        <w:rPr>
          <w:lang w:val="en-US"/>
        </w:rPr>
        <w:t xml:space="preserve">maximum number of TBs supported </w:t>
      </w:r>
      <w:r w:rsidRPr="0042395E">
        <w:rPr>
          <w:lang w:val="en-US"/>
        </w:rPr>
        <w:t xml:space="preserve">when scheduling multiple TBs with one DCI </w:t>
      </w:r>
      <w:r w:rsidR="000D46C0" w:rsidRPr="0042395E">
        <w:rPr>
          <w:lang w:val="en-US"/>
        </w:rPr>
        <w:t>is RRC configured in the set {2, 4, 8}</w:t>
      </w:r>
      <w:r w:rsidR="001D07F0" w:rsidRPr="0042395E">
        <w:rPr>
          <w:lang w:val="en-US"/>
        </w:rPr>
        <w:t>.</w:t>
      </w:r>
      <w:bookmarkEnd w:id="11"/>
    </w:p>
    <w:p w14:paraId="36B518F2" w14:textId="2176B8FD" w:rsidR="008A7516" w:rsidRPr="0042395E" w:rsidRDefault="008A7516" w:rsidP="008A7516">
      <w:pPr>
        <w:pStyle w:val="Heading3"/>
        <w:rPr>
          <w:lang w:val="en-US"/>
        </w:rPr>
      </w:pPr>
      <w:r w:rsidRPr="0042395E">
        <w:rPr>
          <w:lang w:val="en-US"/>
        </w:rPr>
        <w:t>2.3</w:t>
      </w:r>
      <w:r w:rsidRPr="0042395E">
        <w:rPr>
          <w:lang w:val="en-US"/>
        </w:rPr>
        <w:tab/>
      </w:r>
      <w:r w:rsidR="0028213A" w:rsidRPr="0042395E">
        <w:rPr>
          <w:lang w:val="en-US"/>
        </w:rPr>
        <w:t>DCI fields</w:t>
      </w:r>
    </w:p>
    <w:p w14:paraId="62A3953B" w14:textId="64C7FF68" w:rsidR="004A45F7" w:rsidRDefault="004A45F7" w:rsidP="004A45F7">
      <w:pPr>
        <w:rPr>
          <w:rFonts w:ascii="Arial" w:hAnsi="Arial" w:cs="Arial"/>
          <w:lang w:val="en-US" w:eastAsia="ja-JP"/>
        </w:rPr>
      </w:pPr>
      <w:r w:rsidRPr="0042395E">
        <w:rPr>
          <w:rFonts w:ascii="Arial" w:hAnsi="Arial" w:cs="Arial"/>
          <w:lang w:val="en-US" w:eastAsia="ja-JP"/>
        </w:rPr>
        <w:t xml:space="preserve">The fields of DCI format 6-1A and 6-0A </w:t>
      </w:r>
      <w:r w:rsidR="00845FBA">
        <w:rPr>
          <w:rFonts w:ascii="Arial" w:hAnsi="Arial" w:cs="Arial"/>
          <w:lang w:val="en-US" w:eastAsia="ja-JP"/>
        </w:rPr>
        <w:t>are</w:t>
      </w:r>
      <w:r w:rsidRPr="0042395E">
        <w:rPr>
          <w:rFonts w:ascii="Arial" w:hAnsi="Arial" w:cs="Arial"/>
          <w:lang w:val="en-US" w:eastAsia="ja-JP"/>
        </w:rPr>
        <w:t xml:space="preserve"> </w:t>
      </w:r>
      <w:r w:rsidRPr="00994341">
        <w:rPr>
          <w:rFonts w:ascii="Arial" w:hAnsi="Arial" w:cs="Arial"/>
          <w:lang w:val="en-US" w:eastAsia="ja-JP"/>
        </w:rPr>
        <w:t xml:space="preserve">shown in </w:t>
      </w:r>
      <w:r w:rsidR="00994341" w:rsidRPr="00994341">
        <w:rPr>
          <w:rFonts w:ascii="Arial" w:hAnsi="Arial" w:cs="Arial"/>
          <w:lang w:val="en-US" w:eastAsia="ja-JP"/>
        </w:rPr>
        <w:fldChar w:fldCharType="begin"/>
      </w:r>
      <w:r w:rsidR="00994341" w:rsidRPr="00994341">
        <w:rPr>
          <w:rFonts w:ascii="Arial" w:hAnsi="Arial" w:cs="Arial"/>
          <w:lang w:val="en-US" w:eastAsia="ja-JP"/>
        </w:rPr>
        <w:instrText xml:space="preserve"> REF _Ref16841213 \h </w:instrText>
      </w:r>
      <w:r w:rsidR="00994341">
        <w:rPr>
          <w:rFonts w:ascii="Arial" w:hAnsi="Arial" w:cs="Arial"/>
          <w:lang w:val="en-US" w:eastAsia="ja-JP"/>
        </w:rPr>
        <w:instrText xml:space="preserve"> \* MERGEFORMAT </w:instrText>
      </w:r>
      <w:r w:rsidR="00994341" w:rsidRPr="00994341">
        <w:rPr>
          <w:rFonts w:ascii="Arial" w:hAnsi="Arial" w:cs="Arial"/>
          <w:lang w:val="en-US" w:eastAsia="ja-JP"/>
        </w:rPr>
      </w:r>
      <w:r w:rsidR="00994341" w:rsidRPr="00994341">
        <w:rPr>
          <w:rFonts w:ascii="Arial" w:hAnsi="Arial" w:cs="Arial"/>
          <w:lang w:val="en-US" w:eastAsia="ja-JP"/>
        </w:rPr>
        <w:fldChar w:fldCharType="separate"/>
      </w:r>
      <w:r w:rsidR="00EB3DEC" w:rsidRPr="00EB3DEC">
        <w:rPr>
          <w:rFonts w:ascii="Arial" w:hAnsi="Arial" w:cs="Arial"/>
          <w:lang w:val="en-US"/>
        </w:rPr>
        <w:t xml:space="preserve">Table </w:t>
      </w:r>
      <w:r w:rsidR="00EB3DEC" w:rsidRPr="00EB3DEC">
        <w:rPr>
          <w:rFonts w:ascii="Arial" w:hAnsi="Arial" w:cs="Arial"/>
          <w:noProof/>
          <w:lang w:val="en-US"/>
        </w:rPr>
        <w:t>2</w:t>
      </w:r>
      <w:r w:rsidR="00994341" w:rsidRPr="00994341">
        <w:rPr>
          <w:rFonts w:ascii="Arial" w:hAnsi="Arial" w:cs="Arial"/>
          <w:lang w:val="en-US" w:eastAsia="ja-JP"/>
        </w:rPr>
        <w:fldChar w:fldCharType="end"/>
      </w:r>
      <w:r w:rsidR="00994341" w:rsidRPr="00994341">
        <w:rPr>
          <w:rFonts w:ascii="Arial" w:hAnsi="Arial" w:cs="Arial"/>
          <w:lang w:val="en-US" w:eastAsia="ja-JP"/>
        </w:rPr>
        <w:t xml:space="preserve"> </w:t>
      </w:r>
      <w:r w:rsidR="00FF0BCB" w:rsidRPr="00994341">
        <w:rPr>
          <w:rFonts w:ascii="Arial" w:hAnsi="Arial" w:cs="Arial"/>
          <w:lang w:val="en-US" w:eastAsia="ja-JP"/>
        </w:rPr>
        <w:t>with</w:t>
      </w:r>
      <w:r w:rsidR="00FF0BCB" w:rsidRPr="0042395E">
        <w:rPr>
          <w:rFonts w:ascii="Arial" w:hAnsi="Arial" w:cs="Arial"/>
          <w:lang w:val="en-US" w:eastAsia="ja-JP"/>
        </w:rPr>
        <w:t xml:space="preserve"> an interpretation </w:t>
      </w:r>
      <w:r w:rsidR="006C269A" w:rsidRPr="0042395E">
        <w:rPr>
          <w:rFonts w:ascii="Arial" w:hAnsi="Arial" w:cs="Arial"/>
          <w:lang w:val="en-US" w:eastAsia="ja-JP"/>
        </w:rPr>
        <w:t>of</w:t>
      </w:r>
      <w:r w:rsidR="00FF0BCB" w:rsidRPr="0042395E">
        <w:rPr>
          <w:rFonts w:ascii="Arial" w:hAnsi="Arial" w:cs="Arial"/>
          <w:lang w:val="en-US" w:eastAsia="ja-JP"/>
        </w:rPr>
        <w:t xml:space="preserve"> updates needed for scheduling multiple TBs with one single DCI. </w:t>
      </w:r>
    </w:p>
    <w:p w14:paraId="548ADF20" w14:textId="3B04AB0E" w:rsidR="00E63C72" w:rsidRPr="00994341" w:rsidRDefault="00E63C72" w:rsidP="00994341">
      <w:pPr>
        <w:pStyle w:val="Caption"/>
        <w:keepNext/>
        <w:jc w:val="center"/>
        <w:rPr>
          <w:lang w:val="en-US"/>
        </w:rPr>
      </w:pPr>
      <w:bookmarkStart w:id="12" w:name="_Ref16841213"/>
      <w:r w:rsidRPr="00994341">
        <w:rPr>
          <w:lang w:val="en-US"/>
        </w:rPr>
        <w:lastRenderedPageBreak/>
        <w:t xml:space="preserve">Table </w:t>
      </w:r>
      <w:r>
        <w:fldChar w:fldCharType="begin"/>
      </w:r>
      <w:r w:rsidRPr="00994341">
        <w:rPr>
          <w:lang w:val="en-US"/>
        </w:rPr>
        <w:instrText xml:space="preserve"> SEQ Table \* ARABIC </w:instrText>
      </w:r>
      <w:r>
        <w:fldChar w:fldCharType="separate"/>
      </w:r>
      <w:r w:rsidR="00EB3DEC">
        <w:rPr>
          <w:noProof/>
          <w:lang w:val="en-US"/>
        </w:rPr>
        <w:t>2</w:t>
      </w:r>
      <w:r>
        <w:fldChar w:fldCharType="end"/>
      </w:r>
      <w:bookmarkEnd w:id="12"/>
      <w:r w:rsidRPr="00994341">
        <w:rPr>
          <w:lang w:val="en-US"/>
        </w:rPr>
        <w:t>:</w:t>
      </w:r>
      <w:r w:rsidR="00994341" w:rsidRPr="00994341">
        <w:rPr>
          <w:lang w:val="en-US"/>
        </w:rPr>
        <w:t xml:space="preserve"> </w:t>
      </w:r>
      <w:r w:rsidR="00994341" w:rsidRPr="0042395E">
        <w:rPr>
          <w:lang w:val="en-US"/>
        </w:rPr>
        <w:t>Impacted fields in DCI format 6-1A</w:t>
      </w:r>
      <w:r w:rsidR="00994341">
        <w:rPr>
          <w:lang w:val="en-US"/>
        </w:rPr>
        <w:t>/6-0A.</w:t>
      </w:r>
    </w:p>
    <w:tbl>
      <w:tblPr>
        <w:tblW w:w="0" w:type="auto"/>
        <w:jc w:val="center"/>
        <w:tblCellMar>
          <w:left w:w="0" w:type="dxa"/>
          <w:right w:w="0" w:type="dxa"/>
        </w:tblCellMar>
        <w:tblLook w:val="04A0" w:firstRow="1" w:lastRow="0" w:firstColumn="1" w:lastColumn="0" w:noHBand="0" w:noVBand="1"/>
      </w:tblPr>
      <w:tblGrid>
        <w:gridCol w:w="3261"/>
        <w:gridCol w:w="2258"/>
        <w:gridCol w:w="3979"/>
      </w:tblGrid>
      <w:tr w:rsidR="00E63C72" w:rsidRPr="00EB3DEC" w14:paraId="6E27AF95" w14:textId="77777777" w:rsidTr="00231059">
        <w:trPr>
          <w:jc w:val="center"/>
        </w:trPr>
        <w:tc>
          <w:tcPr>
            <w:tcW w:w="3261" w:type="dxa"/>
            <w:tcBorders>
              <w:top w:val="single" w:sz="8" w:space="0" w:color="auto"/>
              <w:left w:val="single" w:sz="8" w:space="0" w:color="auto"/>
              <w:bottom w:val="single" w:sz="8" w:space="0" w:color="auto"/>
              <w:right w:val="single" w:sz="8" w:space="0" w:color="auto"/>
            </w:tcBorders>
            <w:shd w:val="clear" w:color="auto" w:fill="595959" w:themeFill="text1" w:themeFillTint="A6"/>
            <w:tcMar>
              <w:top w:w="0" w:type="dxa"/>
              <w:left w:w="108" w:type="dxa"/>
              <w:bottom w:w="0" w:type="dxa"/>
              <w:right w:w="108" w:type="dxa"/>
            </w:tcMar>
            <w:hideMark/>
          </w:tcPr>
          <w:p w14:paraId="33D0FF13" w14:textId="77777777" w:rsidR="00E63C72" w:rsidRPr="0042395E" w:rsidRDefault="00E63C72" w:rsidP="00231059">
            <w:pPr>
              <w:keepNext/>
              <w:keepLines/>
              <w:spacing w:before="60" w:after="60"/>
              <w:jc w:val="center"/>
              <w:rPr>
                <w:rFonts w:ascii="Arial" w:hAnsi="Arial" w:cs="Arial"/>
                <w:b/>
                <w:bCs/>
                <w:color w:val="FFFFFF" w:themeColor="background1"/>
                <w:sz w:val="18"/>
                <w:szCs w:val="18"/>
                <w:lang w:val="en-US"/>
              </w:rPr>
            </w:pPr>
            <w:r w:rsidRPr="0042395E">
              <w:rPr>
                <w:rFonts w:ascii="Arial" w:hAnsi="Arial" w:cs="Arial"/>
                <w:b/>
                <w:bCs/>
                <w:color w:val="FFFFFF" w:themeColor="background1"/>
                <w:sz w:val="18"/>
                <w:szCs w:val="18"/>
                <w:lang w:val="en-US"/>
              </w:rPr>
              <w:t>DCI field</w:t>
            </w:r>
          </w:p>
        </w:tc>
        <w:tc>
          <w:tcPr>
            <w:tcW w:w="2258" w:type="dxa"/>
            <w:tcBorders>
              <w:top w:val="single" w:sz="8" w:space="0" w:color="auto"/>
              <w:left w:val="nil"/>
              <w:bottom w:val="single" w:sz="8" w:space="0" w:color="auto"/>
              <w:right w:val="single" w:sz="8" w:space="0" w:color="auto"/>
            </w:tcBorders>
            <w:shd w:val="clear" w:color="auto" w:fill="595959" w:themeFill="text1" w:themeFillTint="A6"/>
            <w:tcMar>
              <w:top w:w="0" w:type="dxa"/>
              <w:left w:w="108" w:type="dxa"/>
              <w:bottom w:w="0" w:type="dxa"/>
              <w:right w:w="108" w:type="dxa"/>
            </w:tcMar>
            <w:hideMark/>
          </w:tcPr>
          <w:p w14:paraId="73D65AE9" w14:textId="77777777" w:rsidR="00E63C72" w:rsidRPr="0042395E" w:rsidRDefault="00E63C72" w:rsidP="00231059">
            <w:pPr>
              <w:keepNext/>
              <w:keepLines/>
              <w:spacing w:before="60" w:after="60"/>
              <w:jc w:val="center"/>
              <w:rPr>
                <w:rFonts w:ascii="Arial" w:hAnsi="Arial" w:cs="Arial"/>
                <w:b/>
                <w:bCs/>
                <w:color w:val="FFFFFF" w:themeColor="background1"/>
                <w:sz w:val="18"/>
                <w:szCs w:val="18"/>
                <w:lang w:val="en-US"/>
              </w:rPr>
            </w:pPr>
            <w:r w:rsidRPr="0042395E">
              <w:rPr>
                <w:rFonts w:ascii="Arial" w:hAnsi="Arial" w:cs="Arial"/>
                <w:b/>
                <w:bCs/>
                <w:color w:val="FFFFFF" w:themeColor="background1"/>
                <w:sz w:val="18"/>
                <w:szCs w:val="18"/>
                <w:lang w:val="en-US"/>
              </w:rPr>
              <w:t>Number of bits in legacy DCI format 6-1A</w:t>
            </w:r>
          </w:p>
        </w:tc>
        <w:tc>
          <w:tcPr>
            <w:tcW w:w="3979" w:type="dxa"/>
            <w:tcBorders>
              <w:top w:val="single" w:sz="8" w:space="0" w:color="auto"/>
              <w:left w:val="nil"/>
              <w:bottom w:val="single" w:sz="8" w:space="0" w:color="auto"/>
              <w:right w:val="single" w:sz="8" w:space="0" w:color="auto"/>
            </w:tcBorders>
            <w:shd w:val="clear" w:color="auto" w:fill="595959" w:themeFill="text1" w:themeFillTint="A6"/>
            <w:tcMar>
              <w:top w:w="0" w:type="dxa"/>
              <w:left w:w="108" w:type="dxa"/>
              <w:bottom w:w="0" w:type="dxa"/>
              <w:right w:w="108" w:type="dxa"/>
            </w:tcMar>
            <w:hideMark/>
          </w:tcPr>
          <w:p w14:paraId="016A82C7" w14:textId="77777777" w:rsidR="00E63C72" w:rsidRPr="0042395E" w:rsidRDefault="00E63C72" w:rsidP="00231059">
            <w:pPr>
              <w:keepNext/>
              <w:keepLines/>
              <w:spacing w:before="60" w:after="60"/>
              <w:jc w:val="center"/>
              <w:rPr>
                <w:rFonts w:ascii="Arial" w:hAnsi="Arial" w:cs="Arial"/>
                <w:b/>
                <w:bCs/>
                <w:color w:val="FFFFFF" w:themeColor="background1"/>
                <w:sz w:val="18"/>
                <w:szCs w:val="18"/>
                <w:lang w:val="en-US"/>
              </w:rPr>
            </w:pPr>
            <w:r w:rsidRPr="0042395E">
              <w:rPr>
                <w:rFonts w:ascii="Arial" w:hAnsi="Arial" w:cs="Arial"/>
                <w:b/>
                <w:bCs/>
                <w:color w:val="FFFFFF" w:themeColor="background1"/>
                <w:sz w:val="18"/>
                <w:szCs w:val="18"/>
                <w:lang w:val="en-US"/>
              </w:rPr>
              <w:t>Interpretation when multiple transport blocks enabled via RRC</w:t>
            </w:r>
          </w:p>
        </w:tc>
      </w:tr>
      <w:tr w:rsidR="00E63C72" w:rsidRPr="00EB3DEC" w14:paraId="1EB61CFE" w14:textId="77777777" w:rsidTr="00231059">
        <w:trPr>
          <w:trHeight w:val="70"/>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387D62E"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Flag for 6-0/6-1 differentiation</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D3042B5"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F7BE2BD"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416F4AED" w14:textId="77777777" w:rsidTr="00231059">
        <w:trPr>
          <w:trHeight w:val="70"/>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B82F5D1"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Frequency-hopping flag</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A1D3FF1"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F2B0BC4"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60E17DAA"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59A2F13"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Resource assignment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70CE8F5"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5-9</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551DEE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3BD7D0AC"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59EC7B0"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Number of PDSCH repetitions</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75F781C"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48FCDD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42395E" w14:paraId="4559ACF2"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16D3917"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HARQ process number</w:t>
            </w:r>
          </w:p>
        </w:tc>
        <w:tc>
          <w:tcPr>
            <w:tcW w:w="225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363402B2"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 xml:space="preserve">3 (FDD) or 4 (TDD) </w:t>
            </w:r>
          </w:p>
        </w:tc>
        <w:tc>
          <w:tcPr>
            <w:tcW w:w="39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4582A41" w14:textId="77777777" w:rsidR="00E63C72" w:rsidRPr="0042395E" w:rsidRDefault="00E63C72" w:rsidP="00231059">
            <w:pPr>
              <w:keepNext/>
              <w:keepLines/>
              <w:spacing w:before="60" w:after="60"/>
              <w:jc w:val="center"/>
              <w:rPr>
                <w:rFonts w:ascii="Arial" w:hAnsi="Arial" w:cs="Arial"/>
                <w:sz w:val="18"/>
                <w:szCs w:val="18"/>
                <w:lang w:val="en-US"/>
              </w:rPr>
            </w:pPr>
            <w:r>
              <w:rPr>
                <w:rFonts w:ascii="Arial" w:hAnsi="Arial" w:cs="Arial"/>
                <w:sz w:val="18"/>
                <w:szCs w:val="18"/>
                <w:lang w:val="en-US"/>
              </w:rPr>
              <w:t>FFS</w:t>
            </w:r>
            <w:r w:rsidRPr="0042395E">
              <w:rPr>
                <w:rFonts w:ascii="Arial" w:hAnsi="Arial" w:cs="Arial"/>
                <w:sz w:val="18"/>
                <w:szCs w:val="18"/>
                <w:lang w:val="en-US"/>
              </w:rPr>
              <w:t xml:space="preserve"> </w:t>
            </w:r>
          </w:p>
        </w:tc>
      </w:tr>
      <w:tr w:rsidR="00E63C72" w:rsidRPr="00EB3DEC" w14:paraId="4C78C938"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C4C95A2"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MCS</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11539E6"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4</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65B026C"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78CD3277"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0CC36F8"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RV</w:t>
            </w:r>
          </w:p>
        </w:tc>
        <w:tc>
          <w:tcPr>
            <w:tcW w:w="2258"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565A8D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80A939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initial transmissions</w:t>
            </w:r>
            <w:r>
              <w:rPr>
                <w:rFonts w:ascii="Arial" w:hAnsi="Arial" w:cs="Arial"/>
                <w:sz w:val="18"/>
                <w:szCs w:val="18"/>
                <w:lang w:val="en-US"/>
              </w:rPr>
              <w:t>’</w:t>
            </w:r>
            <w:r w:rsidRPr="0042395E">
              <w:rPr>
                <w:rFonts w:ascii="Arial" w:hAnsi="Arial" w:cs="Arial"/>
                <w:sz w:val="18"/>
                <w:szCs w:val="18"/>
                <w:lang w:val="en-US"/>
              </w:rPr>
              <w:t xml:space="preserve"> TBs</w:t>
            </w:r>
            <w:r w:rsidRPr="0042395E">
              <w:rPr>
                <w:rFonts w:ascii="Arial" w:hAnsi="Arial" w:cs="Arial"/>
                <w:sz w:val="18"/>
                <w:szCs w:val="18"/>
                <w:lang w:val="en-US"/>
              </w:rPr>
              <w:br/>
            </w:r>
            <w:r>
              <w:rPr>
                <w:rFonts w:ascii="Arial" w:hAnsi="Arial" w:cs="Arial"/>
                <w:sz w:val="18"/>
                <w:szCs w:val="18"/>
                <w:lang w:val="en-US"/>
              </w:rPr>
              <w:t>Allocation for r</w:t>
            </w:r>
            <w:r w:rsidRPr="0042395E">
              <w:rPr>
                <w:rFonts w:ascii="Arial" w:hAnsi="Arial" w:cs="Arial"/>
                <w:sz w:val="18"/>
                <w:szCs w:val="18"/>
                <w:lang w:val="en-US"/>
              </w:rPr>
              <w:t xml:space="preserve">etransmissions </w:t>
            </w:r>
            <w:r>
              <w:rPr>
                <w:rFonts w:ascii="Arial" w:hAnsi="Arial" w:cs="Arial"/>
                <w:sz w:val="18"/>
                <w:szCs w:val="18"/>
                <w:lang w:val="en-US"/>
              </w:rPr>
              <w:t>FFS</w:t>
            </w:r>
          </w:p>
        </w:tc>
      </w:tr>
      <w:tr w:rsidR="00E63C72" w:rsidRPr="00EB3DEC" w14:paraId="56F4F6AA"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315EFEB"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NDI</w:t>
            </w:r>
          </w:p>
        </w:tc>
        <w:tc>
          <w:tcPr>
            <w:tcW w:w="225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2BA211C5"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3906EBD" w14:textId="77777777" w:rsidR="00E63C72" w:rsidRPr="0042395E" w:rsidRDefault="00E63C72" w:rsidP="00231059">
            <w:pPr>
              <w:keepNext/>
              <w:keepLines/>
              <w:spacing w:before="60" w:after="60"/>
              <w:jc w:val="center"/>
              <w:rPr>
                <w:rFonts w:ascii="Arial" w:hAnsi="Arial" w:cs="Arial"/>
                <w:sz w:val="18"/>
                <w:szCs w:val="18"/>
                <w:lang w:val="en-US"/>
              </w:rPr>
            </w:pPr>
            <w:r>
              <w:rPr>
                <w:rFonts w:ascii="Arial" w:hAnsi="Arial" w:cs="Arial"/>
                <w:sz w:val="18"/>
                <w:szCs w:val="18"/>
                <w:lang w:val="en-US"/>
              </w:rPr>
              <w:t>Proposed to use bitmap for the allocated HARQ processes</w:t>
            </w:r>
          </w:p>
        </w:tc>
      </w:tr>
      <w:tr w:rsidR="00E63C72" w:rsidRPr="00EB3DEC" w14:paraId="29CAD256"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EA7C5D5"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PMI confirmation (TM6-specific)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55D2956"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207A17B"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4C20F7AD"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4F40162"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Precoding information (TM6-specific)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FE60C20"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 or 4</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76C2DAC"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159DBE58"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7CA79AC"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DM-RS scrambling / antenna ports (TM9-specific)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DAA7C7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0750DC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4404DA39"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F9BFAE7"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D</w:t>
            </w:r>
            <w:r>
              <w:rPr>
                <w:rFonts w:ascii="Arial" w:hAnsi="Arial" w:cs="Arial"/>
                <w:sz w:val="18"/>
                <w:szCs w:val="18"/>
                <w:lang w:val="en-US"/>
              </w:rPr>
              <w:t>L</w:t>
            </w:r>
            <w:r w:rsidRPr="0042395E">
              <w:rPr>
                <w:rFonts w:ascii="Arial" w:hAnsi="Arial" w:cs="Arial"/>
                <w:sz w:val="18"/>
                <w:szCs w:val="18"/>
                <w:lang w:val="en-US"/>
              </w:rPr>
              <w:t xml:space="preserve"> assignment index (TDD-specific)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DF54DF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6BC61E8"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284A9395"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934877D" w14:textId="77777777" w:rsidR="00E63C72" w:rsidRPr="0042395E" w:rsidRDefault="00E63C72" w:rsidP="00231059">
            <w:pPr>
              <w:keepNext/>
              <w:keepLines/>
              <w:spacing w:before="60" w:after="60"/>
              <w:rPr>
                <w:rFonts w:ascii="Arial" w:hAnsi="Arial" w:cs="Arial"/>
                <w:sz w:val="18"/>
                <w:szCs w:val="18"/>
                <w:lang w:val="en-US"/>
              </w:rPr>
            </w:pPr>
            <w:r>
              <w:rPr>
                <w:rFonts w:ascii="Arial" w:hAnsi="Arial" w:cs="Arial"/>
                <w:sz w:val="18"/>
                <w:szCs w:val="18"/>
                <w:lang w:val="en-US"/>
              </w:rPr>
              <w:t>TPC command</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F3E8487"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C6EF8C5"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1866F559"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00C71D3"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SRS request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08779C6C"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FB89CDE"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00857105"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0DF252F"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Ack/</w:t>
            </w:r>
            <w:proofErr w:type="spellStart"/>
            <w:r w:rsidRPr="0042395E">
              <w:rPr>
                <w:rFonts w:ascii="Arial" w:hAnsi="Arial" w:cs="Arial"/>
                <w:sz w:val="18"/>
                <w:szCs w:val="18"/>
                <w:lang w:val="en-US"/>
              </w:rPr>
              <w:t>Nack</w:t>
            </w:r>
            <w:proofErr w:type="spellEnd"/>
            <w:r w:rsidRPr="0042395E">
              <w:rPr>
                <w:rFonts w:ascii="Arial" w:hAnsi="Arial" w:cs="Arial"/>
                <w:sz w:val="18"/>
                <w:szCs w:val="18"/>
                <w:lang w:val="en-US"/>
              </w:rPr>
              <w:t xml:space="preserve"> offset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BA24B5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C3175EB"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4658F278" w14:textId="77777777" w:rsidTr="00231059">
        <w:trPr>
          <w:jc w:val="center"/>
        </w:trPr>
        <w:tc>
          <w:tcPr>
            <w:tcW w:w="3261" w:type="dxa"/>
            <w:tcBorders>
              <w:top w:val="nil"/>
              <w:left w:val="single" w:sz="8" w:space="0" w:color="auto"/>
              <w:bottom w:val="nil"/>
              <w:right w:val="single" w:sz="8" w:space="0" w:color="auto"/>
            </w:tcBorders>
            <w:shd w:val="clear" w:color="auto" w:fill="E2EFD9" w:themeFill="accent6" w:themeFillTint="33"/>
            <w:tcMar>
              <w:top w:w="0" w:type="dxa"/>
              <w:left w:w="108" w:type="dxa"/>
              <w:bottom w:w="0" w:type="dxa"/>
              <w:right w:w="108" w:type="dxa"/>
            </w:tcMar>
            <w:hideMark/>
          </w:tcPr>
          <w:p w14:paraId="1A4D8C95"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Number of MPDCCH repetitions</w:t>
            </w:r>
          </w:p>
        </w:tc>
        <w:tc>
          <w:tcPr>
            <w:tcW w:w="2258" w:type="dxa"/>
            <w:tcBorders>
              <w:top w:val="nil"/>
              <w:left w:val="nil"/>
              <w:bottom w:val="nil"/>
              <w:right w:val="single" w:sz="8" w:space="0" w:color="auto"/>
            </w:tcBorders>
            <w:shd w:val="clear" w:color="auto" w:fill="E2EFD9" w:themeFill="accent6" w:themeFillTint="33"/>
            <w:tcMar>
              <w:top w:w="0" w:type="dxa"/>
              <w:left w:w="108" w:type="dxa"/>
              <w:bottom w:w="0" w:type="dxa"/>
              <w:right w:w="108" w:type="dxa"/>
            </w:tcMar>
            <w:hideMark/>
          </w:tcPr>
          <w:p w14:paraId="2C16F9B6"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nil"/>
              <w:right w:val="single" w:sz="8" w:space="0" w:color="auto"/>
            </w:tcBorders>
            <w:shd w:val="clear" w:color="auto" w:fill="E2EFD9" w:themeFill="accent6" w:themeFillTint="33"/>
            <w:tcMar>
              <w:top w:w="0" w:type="dxa"/>
              <w:left w:w="108" w:type="dxa"/>
              <w:bottom w:w="0" w:type="dxa"/>
              <w:right w:w="108" w:type="dxa"/>
            </w:tcMar>
            <w:hideMark/>
          </w:tcPr>
          <w:p w14:paraId="08768856"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4BE1F31B"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595959" w:themeFill="text1" w:themeFillTint="A6"/>
            <w:tcMar>
              <w:top w:w="0" w:type="dxa"/>
              <w:left w:w="108" w:type="dxa"/>
              <w:bottom w:w="0" w:type="dxa"/>
              <w:right w:w="108" w:type="dxa"/>
            </w:tcMar>
          </w:tcPr>
          <w:p w14:paraId="5D5AAFA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b/>
                <w:bCs/>
                <w:color w:val="FFFFFF" w:themeColor="background1"/>
                <w:sz w:val="18"/>
                <w:szCs w:val="18"/>
                <w:lang w:val="en-US"/>
              </w:rPr>
              <w:t>DCI field</w:t>
            </w:r>
          </w:p>
        </w:tc>
        <w:tc>
          <w:tcPr>
            <w:tcW w:w="2258" w:type="dxa"/>
            <w:tcBorders>
              <w:top w:val="nil"/>
              <w:left w:val="nil"/>
              <w:bottom w:val="single" w:sz="8" w:space="0" w:color="auto"/>
              <w:right w:val="single" w:sz="8" w:space="0" w:color="auto"/>
            </w:tcBorders>
            <w:shd w:val="clear" w:color="auto" w:fill="595959" w:themeFill="text1" w:themeFillTint="A6"/>
            <w:tcMar>
              <w:top w:w="0" w:type="dxa"/>
              <w:left w:w="108" w:type="dxa"/>
              <w:bottom w:w="0" w:type="dxa"/>
              <w:right w:w="108" w:type="dxa"/>
            </w:tcMar>
          </w:tcPr>
          <w:p w14:paraId="7B11C241"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b/>
                <w:bCs/>
                <w:color w:val="FFFFFF" w:themeColor="background1"/>
                <w:sz w:val="18"/>
                <w:szCs w:val="18"/>
                <w:lang w:val="en-US"/>
              </w:rPr>
              <w:t>Number of bits in legacy DCI format 6-0A</w:t>
            </w:r>
          </w:p>
        </w:tc>
        <w:tc>
          <w:tcPr>
            <w:tcW w:w="3979" w:type="dxa"/>
            <w:tcBorders>
              <w:top w:val="nil"/>
              <w:left w:val="nil"/>
              <w:bottom w:val="single" w:sz="8" w:space="0" w:color="auto"/>
              <w:right w:val="single" w:sz="8" w:space="0" w:color="auto"/>
            </w:tcBorders>
            <w:shd w:val="clear" w:color="auto" w:fill="595959" w:themeFill="text1" w:themeFillTint="A6"/>
            <w:tcMar>
              <w:top w:w="0" w:type="dxa"/>
              <w:left w:w="108" w:type="dxa"/>
              <w:bottom w:w="0" w:type="dxa"/>
              <w:right w:w="108" w:type="dxa"/>
            </w:tcMar>
          </w:tcPr>
          <w:p w14:paraId="73562BF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b/>
                <w:bCs/>
                <w:color w:val="FFFFFF" w:themeColor="background1"/>
                <w:sz w:val="18"/>
                <w:szCs w:val="18"/>
                <w:lang w:val="en-US"/>
              </w:rPr>
              <w:t>Interpretation when multiple transport blocks enabled via RRC</w:t>
            </w:r>
          </w:p>
        </w:tc>
      </w:tr>
      <w:tr w:rsidR="00E63C72" w:rsidRPr="00EB3DEC" w14:paraId="5108F9D9"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6383231" w14:textId="77777777" w:rsidR="00E63C72" w:rsidRPr="0042395E" w:rsidRDefault="00E63C72" w:rsidP="00231059">
            <w:pPr>
              <w:keepNext/>
              <w:keepLines/>
              <w:spacing w:before="60" w:after="60"/>
              <w:rPr>
                <w:rFonts w:ascii="Arial" w:hAnsi="Arial" w:cs="Arial"/>
                <w:b/>
                <w:bCs/>
                <w:color w:val="FFFFFF" w:themeColor="background1"/>
                <w:sz w:val="18"/>
                <w:szCs w:val="18"/>
                <w:lang w:val="en-US"/>
              </w:rPr>
            </w:pPr>
            <w:r w:rsidRPr="0042395E">
              <w:rPr>
                <w:rFonts w:ascii="Arial" w:hAnsi="Arial" w:cs="Arial"/>
                <w:sz w:val="18"/>
                <w:szCs w:val="18"/>
                <w:lang w:val="en-US"/>
              </w:rPr>
              <w:t>Flag for 6-0/6-1 differentiation</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4EA6469" w14:textId="77777777" w:rsidR="00E63C72" w:rsidRPr="0042395E" w:rsidRDefault="00E63C72" w:rsidP="00231059">
            <w:pPr>
              <w:keepNext/>
              <w:keepLines/>
              <w:spacing w:before="60" w:after="60"/>
              <w:jc w:val="center"/>
              <w:rPr>
                <w:rFonts w:ascii="Arial" w:hAnsi="Arial" w:cs="Arial"/>
                <w:b/>
                <w:bCs/>
                <w:color w:val="FFFFFF" w:themeColor="background1"/>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F1AC51E" w14:textId="77777777" w:rsidR="00E63C72" w:rsidRPr="0042395E" w:rsidRDefault="00E63C72" w:rsidP="00231059">
            <w:pPr>
              <w:keepNext/>
              <w:keepLines/>
              <w:spacing w:before="60" w:after="60"/>
              <w:jc w:val="center"/>
              <w:rPr>
                <w:rFonts w:ascii="Arial" w:hAnsi="Arial" w:cs="Arial"/>
                <w:b/>
                <w:bCs/>
                <w:color w:val="FFFFFF" w:themeColor="background1"/>
                <w:sz w:val="18"/>
                <w:szCs w:val="18"/>
                <w:lang w:val="en-US"/>
              </w:rPr>
            </w:pPr>
            <w:r w:rsidRPr="0042395E">
              <w:rPr>
                <w:rFonts w:ascii="Arial" w:hAnsi="Arial" w:cs="Arial"/>
                <w:sz w:val="18"/>
                <w:szCs w:val="18"/>
                <w:lang w:val="en-US"/>
              </w:rPr>
              <w:t>Same value for all TBs</w:t>
            </w:r>
          </w:p>
        </w:tc>
      </w:tr>
      <w:tr w:rsidR="00E63C72" w:rsidRPr="00EB3DEC" w14:paraId="3DDB0D55"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065CD86"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Frequency-hopping flag</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C8A89C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9D3CFE3"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05973AD3"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79B55DD"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Resource assignment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D39CCE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5</w:t>
            </w:r>
            <w:r>
              <w:rPr>
                <w:rFonts w:ascii="Arial" w:hAnsi="Arial" w:cs="Arial"/>
                <w:sz w:val="18"/>
                <w:szCs w:val="18"/>
                <w:lang w:val="en-US"/>
              </w:rPr>
              <w:t>-</w:t>
            </w:r>
            <w:r w:rsidRPr="0042395E">
              <w:rPr>
                <w:rFonts w:ascii="Arial" w:hAnsi="Arial" w:cs="Arial"/>
                <w:sz w:val="18"/>
                <w:szCs w:val="18"/>
                <w:lang w:val="en-US"/>
              </w:rPr>
              <w:t>9</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D76E760"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w:t>
            </w:r>
            <w:r>
              <w:rPr>
                <w:rFonts w:ascii="Arial" w:hAnsi="Arial" w:cs="Arial"/>
                <w:sz w:val="18"/>
                <w:szCs w:val="18"/>
                <w:lang w:val="en-US"/>
              </w:rPr>
              <w:t xml:space="preserve"> </w:t>
            </w:r>
            <w:r w:rsidRPr="0042395E">
              <w:rPr>
                <w:rFonts w:ascii="Arial" w:hAnsi="Arial" w:cs="Arial"/>
                <w:sz w:val="18"/>
                <w:szCs w:val="18"/>
                <w:lang w:val="en-US"/>
              </w:rPr>
              <w:t>TBs</w:t>
            </w:r>
          </w:p>
        </w:tc>
      </w:tr>
      <w:tr w:rsidR="00E63C72" w:rsidRPr="00EB3DEC" w14:paraId="1CE5839A"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5B86854"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MCS</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E87106B"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4</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E8DB1A8"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w:t>
            </w:r>
            <w:r>
              <w:rPr>
                <w:rFonts w:ascii="Arial" w:hAnsi="Arial" w:cs="Arial"/>
                <w:sz w:val="18"/>
                <w:szCs w:val="18"/>
                <w:lang w:val="en-US"/>
              </w:rPr>
              <w:t xml:space="preserve"> </w:t>
            </w:r>
            <w:r w:rsidRPr="0042395E">
              <w:rPr>
                <w:rFonts w:ascii="Arial" w:hAnsi="Arial" w:cs="Arial"/>
                <w:sz w:val="18"/>
                <w:szCs w:val="18"/>
                <w:lang w:val="en-US"/>
              </w:rPr>
              <w:t>TBs</w:t>
            </w:r>
          </w:p>
        </w:tc>
      </w:tr>
      <w:tr w:rsidR="00E63C72" w:rsidRPr="00EB3DEC" w14:paraId="4DE466CE"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BF6714E" w14:textId="77777777" w:rsidR="00E63C72" w:rsidRPr="0042395E" w:rsidRDefault="00E63C72" w:rsidP="00231059">
            <w:pPr>
              <w:keepNext/>
              <w:keepLines/>
              <w:spacing w:before="60" w:after="60"/>
              <w:rPr>
                <w:rFonts w:ascii="Arial" w:hAnsi="Arial" w:cs="Arial"/>
                <w:sz w:val="18"/>
                <w:szCs w:val="18"/>
                <w:lang w:val="en-US"/>
              </w:rPr>
            </w:pPr>
            <w:r>
              <w:rPr>
                <w:rFonts w:ascii="Arial" w:hAnsi="Arial" w:cs="Arial"/>
                <w:sz w:val="18"/>
                <w:szCs w:val="18"/>
                <w:lang w:val="en-US"/>
              </w:rPr>
              <w:t>Number of PUSCH repetitions</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8658651"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9DEA81E"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481655" w14:paraId="61B778E3"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4E48D9DB" w14:textId="77777777" w:rsidR="00E63C72"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HARQ process number</w:t>
            </w:r>
          </w:p>
        </w:tc>
        <w:tc>
          <w:tcPr>
            <w:tcW w:w="225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5BDA8B6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3</w:t>
            </w:r>
          </w:p>
        </w:tc>
        <w:tc>
          <w:tcPr>
            <w:tcW w:w="39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6A2327B7" w14:textId="77777777" w:rsidR="00E63C72" w:rsidRPr="0042395E" w:rsidRDefault="00E63C72" w:rsidP="00231059">
            <w:pPr>
              <w:keepNext/>
              <w:keepLines/>
              <w:spacing w:before="60" w:after="60"/>
              <w:jc w:val="center"/>
              <w:rPr>
                <w:rFonts w:ascii="Arial" w:hAnsi="Arial" w:cs="Arial"/>
                <w:sz w:val="18"/>
                <w:szCs w:val="18"/>
                <w:lang w:val="en-US"/>
              </w:rPr>
            </w:pPr>
            <w:r>
              <w:rPr>
                <w:rFonts w:ascii="Arial" w:hAnsi="Arial" w:cs="Arial"/>
                <w:sz w:val="18"/>
                <w:szCs w:val="18"/>
                <w:lang w:val="en-US"/>
              </w:rPr>
              <w:t>FFS</w:t>
            </w:r>
          </w:p>
        </w:tc>
      </w:tr>
      <w:tr w:rsidR="00E63C72" w:rsidRPr="00EB3DEC" w14:paraId="5664C8E9"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56A57B66"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NDI</w:t>
            </w:r>
          </w:p>
        </w:tc>
        <w:tc>
          <w:tcPr>
            <w:tcW w:w="225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257BD737"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1AFC26AF" w14:textId="77777777" w:rsidR="00E63C72" w:rsidRDefault="00E63C72" w:rsidP="00231059">
            <w:pPr>
              <w:keepNext/>
              <w:keepLines/>
              <w:spacing w:before="60" w:after="60"/>
              <w:jc w:val="center"/>
              <w:rPr>
                <w:rFonts w:ascii="Arial" w:hAnsi="Arial" w:cs="Arial"/>
                <w:sz w:val="18"/>
                <w:szCs w:val="18"/>
                <w:lang w:val="en-US"/>
              </w:rPr>
            </w:pPr>
            <w:r>
              <w:rPr>
                <w:rFonts w:ascii="Arial" w:hAnsi="Arial" w:cs="Arial"/>
                <w:sz w:val="18"/>
                <w:szCs w:val="18"/>
                <w:lang w:val="en-US"/>
              </w:rPr>
              <w:t>Proposed to use bitmap for the allocated HARQ processes</w:t>
            </w:r>
          </w:p>
        </w:tc>
      </w:tr>
      <w:tr w:rsidR="00E63C72" w:rsidRPr="00EB3DEC" w14:paraId="1A34A252"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737C7B77"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RV</w:t>
            </w:r>
          </w:p>
        </w:tc>
        <w:tc>
          <w:tcPr>
            <w:tcW w:w="2258"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099988DB"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62240084" w14:textId="77777777" w:rsidR="00E63C72"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initial transmissions</w:t>
            </w:r>
            <w:r>
              <w:rPr>
                <w:rFonts w:ascii="Arial" w:hAnsi="Arial" w:cs="Arial"/>
                <w:sz w:val="18"/>
                <w:szCs w:val="18"/>
                <w:lang w:val="en-US"/>
              </w:rPr>
              <w:t>’</w:t>
            </w:r>
            <w:r w:rsidRPr="0042395E">
              <w:rPr>
                <w:rFonts w:ascii="Arial" w:hAnsi="Arial" w:cs="Arial"/>
                <w:sz w:val="18"/>
                <w:szCs w:val="18"/>
                <w:lang w:val="en-US"/>
              </w:rPr>
              <w:t xml:space="preserve"> TBs</w:t>
            </w:r>
            <w:r w:rsidRPr="0042395E">
              <w:rPr>
                <w:rFonts w:ascii="Arial" w:hAnsi="Arial" w:cs="Arial"/>
                <w:sz w:val="18"/>
                <w:szCs w:val="18"/>
                <w:lang w:val="en-US"/>
              </w:rPr>
              <w:br/>
            </w:r>
            <w:r>
              <w:rPr>
                <w:rFonts w:ascii="Arial" w:hAnsi="Arial" w:cs="Arial"/>
                <w:sz w:val="18"/>
                <w:szCs w:val="18"/>
                <w:lang w:val="en-US"/>
              </w:rPr>
              <w:t>Allocation for r</w:t>
            </w:r>
            <w:r w:rsidRPr="0042395E">
              <w:rPr>
                <w:rFonts w:ascii="Arial" w:hAnsi="Arial" w:cs="Arial"/>
                <w:sz w:val="18"/>
                <w:szCs w:val="18"/>
                <w:lang w:val="en-US"/>
              </w:rPr>
              <w:t xml:space="preserve">etransmissions </w:t>
            </w:r>
            <w:r>
              <w:rPr>
                <w:rFonts w:ascii="Arial" w:hAnsi="Arial" w:cs="Arial"/>
                <w:sz w:val="18"/>
                <w:szCs w:val="18"/>
                <w:lang w:val="en-US"/>
              </w:rPr>
              <w:t>FFS</w:t>
            </w:r>
          </w:p>
        </w:tc>
      </w:tr>
      <w:tr w:rsidR="00E63C72" w:rsidRPr="00EB3DEC" w14:paraId="07AAF617"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043D983"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TPC command</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5FC597E"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D022DFB"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5AB23D3F"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4AF863B"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D</w:t>
            </w:r>
            <w:r>
              <w:rPr>
                <w:rFonts w:ascii="Arial" w:hAnsi="Arial" w:cs="Arial"/>
                <w:sz w:val="18"/>
                <w:szCs w:val="18"/>
                <w:lang w:val="en-US"/>
              </w:rPr>
              <w:t>L</w:t>
            </w:r>
            <w:r w:rsidRPr="0042395E">
              <w:rPr>
                <w:rFonts w:ascii="Arial" w:hAnsi="Arial" w:cs="Arial"/>
                <w:sz w:val="18"/>
                <w:szCs w:val="18"/>
                <w:lang w:val="en-US"/>
              </w:rPr>
              <w:t xml:space="preserve"> </w:t>
            </w:r>
            <w:r>
              <w:rPr>
                <w:rFonts w:ascii="Arial" w:hAnsi="Arial" w:cs="Arial"/>
                <w:sz w:val="18"/>
                <w:szCs w:val="18"/>
                <w:lang w:val="en-US"/>
              </w:rPr>
              <w:t>a</w:t>
            </w:r>
            <w:r w:rsidRPr="0042395E">
              <w:rPr>
                <w:rFonts w:ascii="Arial" w:hAnsi="Arial" w:cs="Arial"/>
                <w:sz w:val="18"/>
                <w:szCs w:val="18"/>
                <w:lang w:val="en-US"/>
              </w:rPr>
              <w:t xml:space="preserve">ssignment </w:t>
            </w:r>
            <w:r>
              <w:rPr>
                <w:rFonts w:ascii="Arial" w:hAnsi="Arial" w:cs="Arial"/>
                <w:sz w:val="18"/>
                <w:szCs w:val="18"/>
                <w:lang w:val="en-US"/>
              </w:rPr>
              <w:t>i</w:t>
            </w:r>
            <w:r w:rsidRPr="0042395E">
              <w:rPr>
                <w:rFonts w:ascii="Arial" w:hAnsi="Arial" w:cs="Arial"/>
                <w:sz w:val="18"/>
                <w:szCs w:val="18"/>
                <w:lang w:val="en-US"/>
              </w:rPr>
              <w:t>ndex (TDD-specific)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CBD4FEA"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5AF8C9E"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481655" w14:paraId="0F7A6D6D"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2E48E67"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UL index (TDD-specific)</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537CA35"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854FCFE" w14:textId="77777777" w:rsidR="00E63C72" w:rsidRPr="0042395E" w:rsidRDefault="00E63C72" w:rsidP="00231059">
            <w:pPr>
              <w:keepNext/>
              <w:keepLines/>
              <w:spacing w:before="60" w:after="60"/>
              <w:jc w:val="center"/>
              <w:rPr>
                <w:rFonts w:ascii="Arial" w:hAnsi="Arial" w:cs="Arial"/>
                <w:sz w:val="18"/>
                <w:szCs w:val="18"/>
                <w:lang w:val="en-US"/>
              </w:rPr>
            </w:pPr>
          </w:p>
        </w:tc>
      </w:tr>
      <w:tr w:rsidR="00E63C72" w:rsidRPr="00EB3DEC" w14:paraId="1212D093"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6C49735"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CSI request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EE9B754"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72ADAA6"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06B743FD"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6D848B4" w14:textId="77777777" w:rsidR="00E63C72" w:rsidRPr="0042395E" w:rsidRDefault="00E63C72" w:rsidP="00231059">
            <w:pPr>
              <w:keepNext/>
              <w:keepLines/>
              <w:spacing w:before="60" w:after="60"/>
              <w:rPr>
                <w:rFonts w:ascii="Arial" w:hAnsi="Arial" w:cs="Arial"/>
                <w:sz w:val="18"/>
                <w:szCs w:val="18"/>
                <w:lang w:val="en-US"/>
              </w:rPr>
            </w:pPr>
            <w:r w:rsidRPr="0042395E">
              <w:rPr>
                <w:rFonts w:ascii="Arial" w:hAnsi="Arial" w:cs="Arial"/>
                <w:sz w:val="18"/>
                <w:szCs w:val="18"/>
                <w:lang w:val="en-US"/>
              </w:rPr>
              <w:t>SRS request</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26A0F29"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1</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9D475C8"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r w:rsidR="00E63C72" w:rsidRPr="00EB3DEC" w14:paraId="19E96D01" w14:textId="77777777" w:rsidTr="00231059">
        <w:trPr>
          <w:jc w:val="center"/>
        </w:trPr>
        <w:tc>
          <w:tcPr>
            <w:tcW w:w="3261"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FB7FB94" w14:textId="77777777" w:rsidR="00E63C72" w:rsidRPr="0042395E" w:rsidRDefault="00E63C72" w:rsidP="00231059">
            <w:pPr>
              <w:keepNext/>
              <w:keepLines/>
              <w:spacing w:before="60" w:after="60"/>
              <w:rPr>
                <w:rFonts w:ascii="Arial" w:hAnsi="Arial" w:cs="Arial"/>
                <w:sz w:val="18"/>
                <w:szCs w:val="18"/>
                <w:lang w:val="en-US"/>
              </w:rPr>
            </w:pPr>
            <w:r>
              <w:rPr>
                <w:rFonts w:ascii="Arial" w:hAnsi="Arial" w:cs="Arial"/>
                <w:sz w:val="18"/>
                <w:szCs w:val="18"/>
                <w:lang w:val="en-US"/>
              </w:rPr>
              <w:t>Number of MPDCCH repetitions</w:t>
            </w:r>
          </w:p>
        </w:tc>
        <w:tc>
          <w:tcPr>
            <w:tcW w:w="2258"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03B3F3A"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2</w:t>
            </w:r>
          </w:p>
        </w:tc>
        <w:tc>
          <w:tcPr>
            <w:tcW w:w="39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BF53B1C" w14:textId="77777777" w:rsidR="00E63C72" w:rsidRPr="0042395E" w:rsidRDefault="00E63C72" w:rsidP="00231059">
            <w:pPr>
              <w:keepNext/>
              <w:keepLines/>
              <w:spacing w:before="60" w:after="60"/>
              <w:jc w:val="center"/>
              <w:rPr>
                <w:rFonts w:ascii="Arial" w:hAnsi="Arial" w:cs="Arial"/>
                <w:sz w:val="18"/>
                <w:szCs w:val="18"/>
                <w:lang w:val="en-US"/>
              </w:rPr>
            </w:pPr>
            <w:r w:rsidRPr="0042395E">
              <w:rPr>
                <w:rFonts w:ascii="Arial" w:hAnsi="Arial" w:cs="Arial"/>
                <w:sz w:val="18"/>
                <w:szCs w:val="18"/>
                <w:lang w:val="en-US"/>
              </w:rPr>
              <w:t>Same value for all TBs</w:t>
            </w:r>
          </w:p>
        </w:tc>
      </w:tr>
    </w:tbl>
    <w:p w14:paraId="502F4C89" w14:textId="77777777" w:rsidR="004A45F7" w:rsidRPr="0042395E" w:rsidRDefault="004A45F7" w:rsidP="004A45F7">
      <w:pPr>
        <w:rPr>
          <w:lang w:val="en-US" w:eastAsia="ja-JP"/>
        </w:rPr>
      </w:pPr>
    </w:p>
    <w:p w14:paraId="76F447E0" w14:textId="77777777" w:rsidR="00034EAB" w:rsidRDefault="00034EAB" w:rsidP="00034EAB">
      <w:pPr>
        <w:pStyle w:val="Heading3"/>
      </w:pPr>
      <w:r>
        <w:lastRenderedPageBreak/>
        <w:t>2.3.1</w:t>
      </w:r>
      <w:r>
        <w:tab/>
        <w:t>Allocated HARQ process</w:t>
      </w:r>
    </w:p>
    <w:p w14:paraId="528254DC" w14:textId="19468134" w:rsidR="002425A5" w:rsidRDefault="00212A1F" w:rsidP="00A4457B">
      <w:pPr>
        <w:rPr>
          <w:rFonts w:ascii="Arial" w:hAnsi="Arial" w:cs="Arial"/>
          <w:lang w:val="en-US"/>
        </w:rPr>
      </w:pPr>
      <w:r w:rsidRPr="00A4457B">
        <w:rPr>
          <w:rFonts w:ascii="Arial" w:hAnsi="Arial" w:cs="Arial"/>
          <w:lang w:val="en-US"/>
        </w:rPr>
        <w:t xml:space="preserve">For initial transmissions, </w:t>
      </w:r>
      <w:r w:rsidR="00A4457B" w:rsidRPr="00A4457B">
        <w:rPr>
          <w:rFonts w:ascii="Arial" w:hAnsi="Arial" w:cs="Arial"/>
          <w:lang w:val="en-US"/>
        </w:rPr>
        <w:t xml:space="preserve">the allocated HARQ processes can </w:t>
      </w:r>
      <w:r w:rsidR="00A4457B">
        <w:rPr>
          <w:rFonts w:ascii="Arial" w:hAnsi="Arial" w:cs="Arial"/>
          <w:lang w:val="en-US"/>
        </w:rPr>
        <w:t>contiguously follow a single HARQ process number indicted in the DCI.</w:t>
      </w:r>
      <w:r w:rsidR="00420BF8">
        <w:rPr>
          <w:rFonts w:ascii="Arial" w:hAnsi="Arial" w:cs="Arial"/>
          <w:lang w:val="en-US"/>
        </w:rPr>
        <w:t xml:space="preserve"> </w:t>
      </w:r>
      <w:r w:rsidR="002425A5">
        <w:rPr>
          <w:rFonts w:ascii="Arial" w:hAnsi="Arial" w:cs="Arial"/>
          <w:lang w:val="en-US"/>
        </w:rPr>
        <w:t>A</w:t>
      </w:r>
      <w:r w:rsidR="00420BF8">
        <w:rPr>
          <w:rFonts w:ascii="Arial" w:hAnsi="Arial" w:cs="Arial"/>
          <w:lang w:val="en-US"/>
        </w:rPr>
        <w:t xml:space="preserve"> problem </w:t>
      </w:r>
      <w:r w:rsidR="002425A5">
        <w:rPr>
          <w:rFonts w:ascii="Arial" w:hAnsi="Arial" w:cs="Arial"/>
          <w:lang w:val="en-US"/>
        </w:rPr>
        <w:t xml:space="preserve">with </w:t>
      </w:r>
      <w:r w:rsidR="00216298">
        <w:rPr>
          <w:rFonts w:ascii="Arial" w:hAnsi="Arial" w:cs="Arial"/>
          <w:lang w:val="en-US"/>
        </w:rPr>
        <w:t>this approach</w:t>
      </w:r>
      <w:r w:rsidR="00565B70">
        <w:rPr>
          <w:rFonts w:ascii="Arial" w:hAnsi="Arial" w:cs="Arial"/>
          <w:lang w:val="en-US"/>
        </w:rPr>
        <w:t xml:space="preserve"> </w:t>
      </w:r>
      <w:r w:rsidR="002425A5">
        <w:rPr>
          <w:rFonts w:ascii="Arial" w:hAnsi="Arial" w:cs="Arial"/>
          <w:lang w:val="en-US"/>
        </w:rPr>
        <w:t xml:space="preserve">may arise with </w:t>
      </w:r>
      <w:r w:rsidR="007D72DE">
        <w:rPr>
          <w:rFonts w:ascii="Arial" w:hAnsi="Arial" w:cs="Arial"/>
          <w:lang w:val="en-US"/>
        </w:rPr>
        <w:t>retransmissions</w:t>
      </w:r>
      <w:r w:rsidR="00BF603F">
        <w:rPr>
          <w:rFonts w:ascii="Arial" w:hAnsi="Arial" w:cs="Arial"/>
          <w:lang w:val="en-US"/>
        </w:rPr>
        <w:t>, since t</w:t>
      </w:r>
      <w:r w:rsidR="00D92905">
        <w:rPr>
          <w:rFonts w:ascii="Arial" w:hAnsi="Arial" w:cs="Arial"/>
          <w:lang w:val="en-US"/>
        </w:rPr>
        <w:t xml:space="preserve">he HARQ processes subject to retransmissions may not be </w:t>
      </w:r>
      <w:r w:rsidR="004F4406">
        <w:rPr>
          <w:rFonts w:ascii="Arial" w:hAnsi="Arial" w:cs="Arial"/>
          <w:lang w:val="en-US"/>
        </w:rPr>
        <w:t>contiguous</w:t>
      </w:r>
      <w:r w:rsidR="00BF603F">
        <w:rPr>
          <w:rFonts w:ascii="Arial" w:hAnsi="Arial" w:cs="Arial"/>
          <w:lang w:val="en-US"/>
        </w:rPr>
        <w:t>. T</w:t>
      </w:r>
      <w:r w:rsidR="007D72DE">
        <w:rPr>
          <w:rFonts w:ascii="Arial" w:hAnsi="Arial" w:cs="Arial"/>
          <w:lang w:val="en-US"/>
        </w:rPr>
        <w:t xml:space="preserve">o handle </w:t>
      </w:r>
      <w:r w:rsidR="004F4406">
        <w:rPr>
          <w:rFonts w:ascii="Arial" w:hAnsi="Arial" w:cs="Arial"/>
          <w:lang w:val="en-US"/>
        </w:rPr>
        <w:t xml:space="preserve">this, it is considered that either new data </w:t>
      </w:r>
      <w:proofErr w:type="gramStart"/>
      <w:r w:rsidR="004F4406">
        <w:rPr>
          <w:rFonts w:ascii="Arial" w:hAnsi="Arial" w:cs="Arial"/>
          <w:lang w:val="en-US"/>
        </w:rPr>
        <w:t>has to</w:t>
      </w:r>
      <w:proofErr w:type="gramEnd"/>
      <w:r w:rsidR="004F4406">
        <w:rPr>
          <w:rFonts w:ascii="Arial" w:hAnsi="Arial" w:cs="Arial"/>
          <w:lang w:val="en-US"/>
        </w:rPr>
        <w:t xml:space="preserve"> be allocated to </w:t>
      </w:r>
      <w:r w:rsidR="001C7100">
        <w:rPr>
          <w:rFonts w:ascii="Arial" w:hAnsi="Arial" w:cs="Arial"/>
          <w:lang w:val="en-US"/>
        </w:rPr>
        <w:t>any</w:t>
      </w:r>
      <w:r w:rsidR="004F4406">
        <w:rPr>
          <w:rFonts w:ascii="Arial" w:hAnsi="Arial" w:cs="Arial"/>
          <w:lang w:val="en-US"/>
        </w:rPr>
        <w:t xml:space="preserve"> </w:t>
      </w:r>
      <w:r w:rsidR="0020071E">
        <w:rPr>
          <w:rFonts w:ascii="Arial" w:hAnsi="Arial" w:cs="Arial"/>
          <w:lang w:val="en-US"/>
        </w:rPr>
        <w:t xml:space="preserve">intermediate </w:t>
      </w:r>
      <w:r w:rsidR="0056506B">
        <w:rPr>
          <w:rFonts w:ascii="Arial" w:hAnsi="Arial" w:cs="Arial"/>
          <w:lang w:val="en-US"/>
        </w:rPr>
        <w:t xml:space="preserve">HARQ processes </w:t>
      </w:r>
      <w:r w:rsidR="0020071E">
        <w:rPr>
          <w:rFonts w:ascii="Arial" w:hAnsi="Arial" w:cs="Arial"/>
          <w:lang w:val="en-US"/>
        </w:rPr>
        <w:t>between</w:t>
      </w:r>
      <w:r w:rsidR="00500A9D">
        <w:rPr>
          <w:rFonts w:ascii="Arial" w:hAnsi="Arial" w:cs="Arial"/>
          <w:lang w:val="en-US"/>
        </w:rPr>
        <w:t xml:space="preserve"> the HARQ processes with retransmission, or the allocated HARQ processes need to be specifically allocated, e.g. via a bitmap.</w:t>
      </w:r>
      <w:r w:rsidR="00BF59FE">
        <w:rPr>
          <w:rFonts w:ascii="Arial" w:hAnsi="Arial" w:cs="Arial"/>
          <w:lang w:val="en-US"/>
        </w:rPr>
        <w:t xml:space="preserve"> </w:t>
      </w:r>
    </w:p>
    <w:p w14:paraId="1D90AB3A" w14:textId="726D80E2" w:rsidR="00A66B89" w:rsidRPr="00DF62A0" w:rsidRDefault="00B63760" w:rsidP="00DF0FE9">
      <w:pPr>
        <w:pStyle w:val="Observation"/>
        <w:jc w:val="left"/>
        <w:rPr>
          <w:rFonts w:cs="Arial"/>
          <w:lang w:val="en-US"/>
        </w:rPr>
      </w:pPr>
      <w:bookmarkStart w:id="13" w:name="_Toc16872197"/>
      <w:r>
        <w:rPr>
          <w:lang w:val="en-US"/>
        </w:rPr>
        <w:t xml:space="preserve">For </w:t>
      </w:r>
      <w:r w:rsidR="00BD4509">
        <w:rPr>
          <w:lang w:val="en-US"/>
        </w:rPr>
        <w:t>unicast</w:t>
      </w:r>
      <w:r>
        <w:rPr>
          <w:lang w:val="en-US"/>
        </w:rPr>
        <w:t xml:space="preserve">, the </w:t>
      </w:r>
      <w:r w:rsidR="00BD4509">
        <w:rPr>
          <w:lang w:val="en-US"/>
        </w:rPr>
        <w:t xml:space="preserve">specification of the </w:t>
      </w:r>
      <w:r>
        <w:rPr>
          <w:lang w:val="en-US"/>
        </w:rPr>
        <w:t>allocat</w:t>
      </w:r>
      <w:r w:rsidR="00BD4509">
        <w:rPr>
          <w:lang w:val="en-US"/>
        </w:rPr>
        <w:t>ed</w:t>
      </w:r>
      <w:r>
        <w:rPr>
          <w:lang w:val="en-US"/>
        </w:rPr>
        <w:t xml:space="preserve"> </w:t>
      </w:r>
      <w:r w:rsidR="00BD4509">
        <w:rPr>
          <w:lang w:val="en-US"/>
        </w:rPr>
        <w:t>HARQ process</w:t>
      </w:r>
      <w:r w:rsidR="008C580E">
        <w:rPr>
          <w:lang w:val="en-US"/>
        </w:rPr>
        <w:t xml:space="preserve">es </w:t>
      </w:r>
      <w:r w:rsidR="00C273E6">
        <w:rPr>
          <w:lang w:val="en-US"/>
        </w:rPr>
        <w:t>in conju</w:t>
      </w:r>
      <w:r w:rsidR="003A7D71">
        <w:rPr>
          <w:lang w:val="en-US"/>
        </w:rPr>
        <w:t>n</w:t>
      </w:r>
      <w:r w:rsidR="00C273E6">
        <w:rPr>
          <w:lang w:val="en-US"/>
        </w:rPr>
        <w:t xml:space="preserve">ction with retransmissions </w:t>
      </w:r>
      <w:r w:rsidR="00DF0FE9">
        <w:rPr>
          <w:lang w:val="en-US"/>
        </w:rPr>
        <w:t>needs</w:t>
      </w:r>
      <w:r>
        <w:rPr>
          <w:lang w:val="en-US"/>
        </w:rPr>
        <w:t xml:space="preserve"> further stud</w:t>
      </w:r>
      <w:r w:rsidR="00DF0FE9">
        <w:rPr>
          <w:lang w:val="en-US"/>
        </w:rPr>
        <w:t>y</w:t>
      </w:r>
      <w:r w:rsidR="00C273E6">
        <w:rPr>
          <w:lang w:val="en-US"/>
        </w:rPr>
        <w:t>.</w:t>
      </w:r>
      <w:bookmarkEnd w:id="13"/>
    </w:p>
    <w:p w14:paraId="5525B22E" w14:textId="343D80A6" w:rsidR="00374FBE" w:rsidRPr="00374FBE" w:rsidRDefault="00374FBE" w:rsidP="00374FBE">
      <w:pPr>
        <w:pStyle w:val="Heading3"/>
      </w:pPr>
      <w:r>
        <w:t>2.3.2</w:t>
      </w:r>
      <w:r>
        <w:tab/>
        <w:t>R</w:t>
      </w:r>
      <w:r w:rsidR="00CB2473">
        <w:t>edundancy version</w:t>
      </w:r>
    </w:p>
    <w:p w14:paraId="68443BE2" w14:textId="1CCD5407" w:rsidR="005656CF" w:rsidRPr="0042395E" w:rsidRDefault="00534D7A" w:rsidP="003F4288">
      <w:pPr>
        <w:rPr>
          <w:rFonts w:ascii="Arial" w:hAnsi="Arial" w:cs="Arial"/>
          <w:lang w:val="en-US"/>
        </w:rPr>
      </w:pPr>
      <w:r w:rsidRPr="0042395E">
        <w:rPr>
          <w:rFonts w:ascii="Arial" w:hAnsi="Arial" w:cs="Arial"/>
          <w:lang w:val="en-US"/>
        </w:rPr>
        <w:t xml:space="preserve">When </w:t>
      </w:r>
      <w:r w:rsidR="00AC0965">
        <w:rPr>
          <w:rFonts w:ascii="Arial" w:hAnsi="Arial" w:cs="Arial"/>
          <w:lang w:val="en-US"/>
        </w:rPr>
        <w:t xml:space="preserve">4 or more </w:t>
      </w:r>
      <w:r w:rsidR="00421424" w:rsidRPr="0042395E">
        <w:rPr>
          <w:rFonts w:ascii="Arial" w:hAnsi="Arial" w:cs="Arial"/>
          <w:lang w:val="en-US"/>
        </w:rPr>
        <w:t xml:space="preserve">repetitions are used for PUSCH/PDSCH, the </w:t>
      </w:r>
      <w:r w:rsidR="00E82FCC">
        <w:rPr>
          <w:rFonts w:ascii="Arial" w:hAnsi="Arial" w:cs="Arial"/>
          <w:lang w:val="en-US"/>
        </w:rPr>
        <w:t>RV</w:t>
      </w:r>
      <w:r w:rsidR="00421424" w:rsidRPr="0042395E">
        <w:rPr>
          <w:rFonts w:ascii="Arial" w:hAnsi="Arial" w:cs="Arial"/>
          <w:lang w:val="en-US"/>
        </w:rPr>
        <w:t xml:space="preserve"> will be cycled in each transmission</w:t>
      </w:r>
      <w:r w:rsidR="00E82FCC">
        <w:rPr>
          <w:rFonts w:ascii="Arial" w:hAnsi="Arial" w:cs="Arial"/>
          <w:lang w:val="en-US"/>
        </w:rPr>
        <w:t xml:space="preserve"> and all RVs will be scheduled, </w:t>
      </w:r>
      <w:r w:rsidR="00421424" w:rsidRPr="0042395E">
        <w:rPr>
          <w:rFonts w:ascii="Arial" w:hAnsi="Arial" w:cs="Arial"/>
          <w:lang w:val="en-US"/>
        </w:rPr>
        <w:t xml:space="preserve">and it may be less of a need for setting the </w:t>
      </w:r>
      <w:r w:rsidR="00281F4E" w:rsidRPr="0042395E">
        <w:rPr>
          <w:rFonts w:ascii="Arial" w:hAnsi="Arial" w:cs="Arial"/>
          <w:lang w:val="en-US"/>
        </w:rPr>
        <w:t>RV</w:t>
      </w:r>
      <w:r w:rsidR="006256C2">
        <w:rPr>
          <w:rFonts w:ascii="Arial" w:hAnsi="Arial" w:cs="Arial"/>
          <w:lang w:val="en-US"/>
        </w:rPr>
        <w:t xml:space="preserve"> </w:t>
      </w:r>
      <w:r w:rsidR="00281F4E" w:rsidRPr="0042395E">
        <w:rPr>
          <w:rFonts w:ascii="Arial" w:hAnsi="Arial" w:cs="Arial"/>
          <w:lang w:val="en-US"/>
        </w:rPr>
        <w:t xml:space="preserve">individually for each HARQ process. </w:t>
      </w:r>
    </w:p>
    <w:p w14:paraId="72B23A46" w14:textId="5C2C335C" w:rsidR="00B65236" w:rsidRDefault="001E341F" w:rsidP="001C1620">
      <w:pPr>
        <w:pStyle w:val="Proposal"/>
        <w:jc w:val="left"/>
        <w:rPr>
          <w:lang w:val="en-US"/>
        </w:rPr>
      </w:pPr>
      <w:bookmarkStart w:id="14" w:name="_Toc16872201"/>
      <w:r>
        <w:rPr>
          <w:lang w:val="en-US"/>
        </w:rPr>
        <w:t>At least f</w:t>
      </w:r>
      <w:r w:rsidR="00B65236">
        <w:rPr>
          <w:lang w:val="en-US"/>
        </w:rPr>
        <w:t>or CE mode A,</w:t>
      </w:r>
      <w:r w:rsidR="00B65236" w:rsidRPr="00EC6255">
        <w:rPr>
          <w:lang w:val="en-US"/>
        </w:rPr>
        <w:t xml:space="preserve"> </w:t>
      </w:r>
      <w:r w:rsidR="00B65236" w:rsidRPr="0042395E">
        <w:rPr>
          <w:lang w:val="en-US"/>
        </w:rPr>
        <w:t>w</w:t>
      </w:r>
      <w:r w:rsidR="0046022D">
        <w:rPr>
          <w:lang w:val="en-US"/>
        </w:rPr>
        <w:t>hen</w:t>
      </w:r>
      <w:r w:rsidR="00B65236" w:rsidRPr="0042395E">
        <w:rPr>
          <w:lang w:val="en-US"/>
        </w:rPr>
        <w:t xml:space="preserve"> </w:t>
      </w:r>
      <w:r w:rsidR="00B65236">
        <w:rPr>
          <w:lang w:val="en-US"/>
        </w:rPr>
        <w:t>4</w:t>
      </w:r>
      <w:r w:rsidR="00B65236" w:rsidRPr="0042395E">
        <w:rPr>
          <w:lang w:val="en-US"/>
        </w:rPr>
        <w:t xml:space="preserve"> </w:t>
      </w:r>
      <w:r w:rsidR="0046022D">
        <w:rPr>
          <w:lang w:val="en-US"/>
        </w:rPr>
        <w:t xml:space="preserve">or more </w:t>
      </w:r>
      <w:r w:rsidR="00B65236" w:rsidRPr="0042395E">
        <w:rPr>
          <w:lang w:val="en-US"/>
        </w:rPr>
        <w:t>repetitions</w:t>
      </w:r>
      <w:r w:rsidR="0046022D">
        <w:rPr>
          <w:lang w:val="en-US"/>
        </w:rPr>
        <w:t xml:space="preserve"> are scheduled</w:t>
      </w:r>
      <w:r w:rsidR="00D807D5">
        <w:rPr>
          <w:lang w:val="en-US"/>
        </w:rPr>
        <w:t xml:space="preserve"> on </w:t>
      </w:r>
      <w:r w:rsidR="00D807D5" w:rsidRPr="0042395E">
        <w:rPr>
          <w:lang w:val="en-US"/>
        </w:rPr>
        <w:t>PUSCH/PDSCH</w:t>
      </w:r>
      <w:r w:rsidR="00B65236">
        <w:rPr>
          <w:lang w:val="en-US"/>
        </w:rPr>
        <w:t xml:space="preserve">, </w:t>
      </w:r>
      <w:r w:rsidR="0046022D">
        <w:rPr>
          <w:lang w:val="en-US"/>
        </w:rPr>
        <w:t xml:space="preserve">the </w:t>
      </w:r>
      <w:r w:rsidR="00945939">
        <w:rPr>
          <w:lang w:val="en-US"/>
        </w:rPr>
        <w:t xml:space="preserve">single </w:t>
      </w:r>
      <w:r w:rsidR="00EC365D">
        <w:rPr>
          <w:lang w:val="en-US"/>
        </w:rPr>
        <w:t>RV field</w:t>
      </w:r>
      <w:r w:rsidR="00B65236" w:rsidRPr="0042395E">
        <w:rPr>
          <w:lang w:val="en-US"/>
        </w:rPr>
        <w:t xml:space="preserve"> </w:t>
      </w:r>
      <w:r w:rsidR="00DC5FED">
        <w:rPr>
          <w:lang w:val="en-US"/>
        </w:rPr>
        <w:t xml:space="preserve">in </w:t>
      </w:r>
      <w:r w:rsidR="00913F4C">
        <w:rPr>
          <w:lang w:val="en-US"/>
        </w:rPr>
        <w:t xml:space="preserve">the </w:t>
      </w:r>
      <w:r w:rsidR="00DC5FED">
        <w:rPr>
          <w:lang w:val="en-US"/>
        </w:rPr>
        <w:t xml:space="preserve">DCI </w:t>
      </w:r>
      <w:r w:rsidR="0046022D">
        <w:rPr>
          <w:lang w:val="en-US"/>
        </w:rPr>
        <w:t xml:space="preserve">is </w:t>
      </w:r>
      <w:r w:rsidR="00913F4C">
        <w:rPr>
          <w:lang w:val="en-US"/>
        </w:rPr>
        <w:t>used</w:t>
      </w:r>
      <w:r w:rsidR="007B2E78">
        <w:rPr>
          <w:lang w:val="en-US"/>
        </w:rPr>
        <w:t xml:space="preserve"> for all HARQ processes</w:t>
      </w:r>
      <w:r w:rsidR="00D807D5">
        <w:rPr>
          <w:lang w:val="en-US"/>
        </w:rPr>
        <w:t>.</w:t>
      </w:r>
      <w:bookmarkEnd w:id="14"/>
    </w:p>
    <w:p w14:paraId="10E89708" w14:textId="0654E0BB" w:rsidR="00F505BB" w:rsidRDefault="00BF3DE2" w:rsidP="00FC6C45">
      <w:pPr>
        <w:rPr>
          <w:rFonts w:ascii="Arial" w:hAnsi="Arial" w:cs="Arial"/>
          <w:lang w:val="en-US"/>
        </w:rPr>
      </w:pPr>
      <w:r>
        <w:rPr>
          <w:rFonts w:ascii="Arial" w:hAnsi="Arial" w:cs="Arial"/>
          <w:lang w:val="en-US"/>
        </w:rPr>
        <w:t xml:space="preserve">When less than 4 repetitions are scheduled, the RV for </w:t>
      </w:r>
      <w:r w:rsidR="00967216">
        <w:rPr>
          <w:rFonts w:ascii="Arial" w:hAnsi="Arial" w:cs="Arial"/>
          <w:lang w:val="en-US"/>
        </w:rPr>
        <w:t xml:space="preserve">retransmissions needs to be considered. </w:t>
      </w:r>
      <w:r w:rsidR="004C5F18">
        <w:rPr>
          <w:rFonts w:ascii="Arial" w:hAnsi="Arial" w:cs="Arial"/>
          <w:lang w:val="en-US"/>
        </w:rPr>
        <w:t xml:space="preserve"> </w:t>
      </w:r>
    </w:p>
    <w:p w14:paraId="0788C08E" w14:textId="459E2B9C" w:rsidR="00294760" w:rsidRPr="008A36E7" w:rsidRDefault="00294760" w:rsidP="003B3FE6">
      <w:pPr>
        <w:pStyle w:val="Observation"/>
        <w:jc w:val="left"/>
        <w:rPr>
          <w:lang w:val="en-US"/>
        </w:rPr>
      </w:pPr>
      <w:bookmarkStart w:id="15" w:name="_Toc16872198"/>
      <w:r>
        <w:rPr>
          <w:lang w:val="en-US"/>
        </w:rPr>
        <w:t xml:space="preserve">For CE mode A, when 1 or 2 repetitions are used, </w:t>
      </w:r>
      <w:r w:rsidR="00A4108B">
        <w:rPr>
          <w:lang w:val="en-US"/>
        </w:rPr>
        <w:t xml:space="preserve">the </w:t>
      </w:r>
      <w:r w:rsidR="00B93B34">
        <w:rPr>
          <w:lang w:val="en-US"/>
        </w:rPr>
        <w:t xml:space="preserve">allocation of </w:t>
      </w:r>
      <w:r w:rsidR="00EC365D">
        <w:rPr>
          <w:lang w:val="en-US"/>
        </w:rPr>
        <w:t>RV field</w:t>
      </w:r>
      <w:r w:rsidR="00B93B34">
        <w:rPr>
          <w:lang w:val="en-US"/>
        </w:rPr>
        <w:t xml:space="preserve"> to the </w:t>
      </w:r>
      <w:r w:rsidR="000D4530">
        <w:rPr>
          <w:lang w:val="en-US"/>
        </w:rPr>
        <w:t xml:space="preserve">scheduled </w:t>
      </w:r>
      <w:r w:rsidR="00B93B34">
        <w:rPr>
          <w:lang w:val="en-US"/>
        </w:rPr>
        <w:t>HARQ processes</w:t>
      </w:r>
      <w:r w:rsidR="0092009A">
        <w:rPr>
          <w:lang w:val="en-US"/>
        </w:rPr>
        <w:t xml:space="preserve"> for retransmissions</w:t>
      </w:r>
      <w:r w:rsidR="00B93B34">
        <w:rPr>
          <w:lang w:val="en-US"/>
        </w:rPr>
        <w:t xml:space="preserve"> </w:t>
      </w:r>
      <w:r w:rsidR="003B3FE6">
        <w:rPr>
          <w:lang w:val="en-US"/>
        </w:rPr>
        <w:t>needs</w:t>
      </w:r>
      <w:r w:rsidR="00B93B34">
        <w:rPr>
          <w:lang w:val="en-US"/>
        </w:rPr>
        <w:t xml:space="preserve"> further stud</w:t>
      </w:r>
      <w:r w:rsidR="003B3FE6">
        <w:rPr>
          <w:lang w:val="en-US"/>
        </w:rPr>
        <w:t>y</w:t>
      </w:r>
      <w:r w:rsidR="00B93B34">
        <w:rPr>
          <w:lang w:val="en-US"/>
        </w:rPr>
        <w:t>.</w:t>
      </w:r>
      <w:bookmarkEnd w:id="15"/>
      <w:r>
        <w:rPr>
          <w:lang w:val="en-US"/>
        </w:rPr>
        <w:t xml:space="preserve"> </w:t>
      </w:r>
    </w:p>
    <w:p w14:paraId="1396D9A9" w14:textId="0C7ECD91" w:rsidR="00AE0A7B" w:rsidRDefault="00CB2473" w:rsidP="00AE0A7B">
      <w:pPr>
        <w:pStyle w:val="Heading3"/>
      </w:pPr>
      <w:r>
        <w:t>2.3.3</w:t>
      </w:r>
      <w:r>
        <w:tab/>
        <w:t>New data indicator</w:t>
      </w:r>
    </w:p>
    <w:p w14:paraId="77A0DE3B" w14:textId="293725B6" w:rsidR="00FA426A" w:rsidRPr="00FA426A" w:rsidRDefault="00FA426A" w:rsidP="00FA426A">
      <w:pPr>
        <w:rPr>
          <w:rFonts w:ascii="Arial" w:hAnsi="Arial" w:cs="Arial"/>
          <w:lang w:val="en-US"/>
        </w:rPr>
      </w:pPr>
      <w:r w:rsidRPr="00FA426A">
        <w:rPr>
          <w:rFonts w:ascii="Arial" w:hAnsi="Arial" w:cs="Arial"/>
          <w:lang w:val="en-US"/>
        </w:rPr>
        <w:t xml:space="preserve">For </w:t>
      </w:r>
      <w:r>
        <w:rPr>
          <w:rFonts w:ascii="Arial" w:hAnsi="Arial" w:cs="Arial"/>
          <w:lang w:val="en-US"/>
        </w:rPr>
        <w:t xml:space="preserve">the new data indicator, it is proposed to extend the existing </w:t>
      </w:r>
      <w:r w:rsidR="003E4489">
        <w:rPr>
          <w:rFonts w:ascii="Arial" w:hAnsi="Arial" w:cs="Arial"/>
          <w:lang w:val="en-US"/>
        </w:rPr>
        <w:t xml:space="preserve">NDI </w:t>
      </w:r>
      <w:r>
        <w:rPr>
          <w:rFonts w:ascii="Arial" w:hAnsi="Arial" w:cs="Arial"/>
          <w:lang w:val="en-US"/>
        </w:rPr>
        <w:t xml:space="preserve">field </w:t>
      </w:r>
      <w:r w:rsidR="003E4489">
        <w:rPr>
          <w:rFonts w:ascii="Arial" w:hAnsi="Arial" w:cs="Arial"/>
          <w:lang w:val="en-US"/>
        </w:rPr>
        <w:t xml:space="preserve">to provide a similar binary indication as </w:t>
      </w:r>
      <w:r w:rsidR="00485689">
        <w:rPr>
          <w:rFonts w:ascii="Arial" w:hAnsi="Arial" w:cs="Arial"/>
          <w:lang w:val="en-US"/>
        </w:rPr>
        <w:t>in</w:t>
      </w:r>
      <w:r w:rsidR="000D0016">
        <w:rPr>
          <w:rFonts w:ascii="Arial" w:hAnsi="Arial" w:cs="Arial"/>
          <w:lang w:val="en-US"/>
        </w:rPr>
        <w:t xml:space="preserve"> legacy </w:t>
      </w:r>
      <w:r w:rsidR="003E4489">
        <w:rPr>
          <w:rFonts w:ascii="Arial" w:hAnsi="Arial" w:cs="Arial"/>
          <w:lang w:val="en-US"/>
        </w:rPr>
        <w:t xml:space="preserve">for each allocated </w:t>
      </w:r>
      <w:r w:rsidR="000D0016">
        <w:rPr>
          <w:rFonts w:ascii="Arial" w:hAnsi="Arial" w:cs="Arial"/>
          <w:lang w:val="en-US"/>
        </w:rPr>
        <w:t>HARQ processes.</w:t>
      </w:r>
      <w:r w:rsidR="003E4489">
        <w:rPr>
          <w:rFonts w:ascii="Arial" w:hAnsi="Arial" w:cs="Arial"/>
          <w:lang w:val="en-US"/>
        </w:rPr>
        <w:t xml:space="preserve"> </w:t>
      </w:r>
      <w:r>
        <w:rPr>
          <w:rFonts w:ascii="Arial" w:hAnsi="Arial" w:cs="Arial"/>
          <w:lang w:val="en-US"/>
        </w:rPr>
        <w:t xml:space="preserve"> </w:t>
      </w:r>
    </w:p>
    <w:p w14:paraId="390A194C" w14:textId="61A84D17" w:rsidR="005E04CC" w:rsidRPr="00F77184" w:rsidRDefault="005E04CC" w:rsidP="005E04CC">
      <w:pPr>
        <w:pStyle w:val="Proposal"/>
        <w:rPr>
          <w:lang w:val="en-US"/>
        </w:rPr>
      </w:pPr>
      <w:bookmarkStart w:id="16" w:name="_Toc16872202"/>
      <w:r w:rsidRPr="0042395E">
        <w:rPr>
          <w:lang w:val="en-US"/>
        </w:rPr>
        <w:t>For unicast, the NDI for each scheduled HARQ process is parameterized via a bitmap of length equal to the maximum RRC configured TBs</w:t>
      </w:r>
      <w:r w:rsidR="003E7A3E">
        <w:rPr>
          <w:lang w:val="en-US"/>
        </w:rPr>
        <w:t xml:space="preserve">, </w:t>
      </w:r>
      <w:r>
        <w:rPr>
          <w:lang w:val="en-US"/>
        </w:rPr>
        <w:t xml:space="preserve">i.e. </w:t>
      </w:r>
      <w:r w:rsidRPr="0042395E">
        <w:rPr>
          <w:lang w:val="en-US"/>
        </w:rPr>
        <w:t>{2, 4, 8}</w:t>
      </w:r>
      <w:r>
        <w:rPr>
          <w:lang w:val="en-US"/>
        </w:rPr>
        <w:t xml:space="preserve"> bits.</w:t>
      </w:r>
      <w:bookmarkEnd w:id="16"/>
    </w:p>
    <w:p w14:paraId="05116942" w14:textId="0520B1C5" w:rsidR="00CB2473" w:rsidRPr="00CB2473" w:rsidRDefault="00FA5A0B" w:rsidP="0058049C">
      <w:pPr>
        <w:pStyle w:val="Heading3"/>
      </w:pPr>
      <w:r>
        <w:t xml:space="preserve">2.3.4 </w:t>
      </w:r>
      <w:r>
        <w:tab/>
      </w:r>
      <w:r w:rsidR="00E108DC">
        <w:t xml:space="preserve">Number of </w:t>
      </w:r>
      <w:r>
        <w:t>TBs</w:t>
      </w:r>
    </w:p>
    <w:p w14:paraId="4D8F462D" w14:textId="4CC09812" w:rsidR="006E7CBE" w:rsidRPr="0042395E" w:rsidRDefault="00AF20AE" w:rsidP="006E7CBE">
      <w:pPr>
        <w:rPr>
          <w:rFonts w:ascii="Arial" w:hAnsi="Arial" w:cs="Arial"/>
          <w:lang w:val="en-US"/>
        </w:rPr>
      </w:pPr>
      <w:r w:rsidRPr="0042395E">
        <w:rPr>
          <w:rFonts w:ascii="Arial" w:hAnsi="Arial" w:cs="Arial"/>
          <w:lang w:val="en-US"/>
        </w:rPr>
        <w:t>To allow for a minimum impact o</w:t>
      </w:r>
      <w:r w:rsidR="001C1620" w:rsidRPr="0042395E">
        <w:rPr>
          <w:rFonts w:ascii="Arial" w:hAnsi="Arial" w:cs="Arial"/>
          <w:lang w:val="en-US"/>
        </w:rPr>
        <w:t>n</w:t>
      </w:r>
      <w:r w:rsidRPr="0042395E">
        <w:rPr>
          <w:rFonts w:ascii="Arial" w:hAnsi="Arial" w:cs="Arial"/>
          <w:lang w:val="en-US"/>
        </w:rPr>
        <w:t xml:space="preserve"> the size and </w:t>
      </w:r>
      <w:r w:rsidR="001C1620" w:rsidRPr="0042395E">
        <w:rPr>
          <w:rFonts w:ascii="Arial" w:hAnsi="Arial" w:cs="Arial"/>
          <w:lang w:val="en-US"/>
        </w:rPr>
        <w:t xml:space="preserve">the </w:t>
      </w:r>
      <w:r w:rsidRPr="0042395E">
        <w:rPr>
          <w:rFonts w:ascii="Arial" w:hAnsi="Arial" w:cs="Arial"/>
          <w:lang w:val="en-US"/>
        </w:rPr>
        <w:t xml:space="preserve">design of the </w:t>
      </w:r>
      <w:r w:rsidR="00B25453" w:rsidRPr="0042395E">
        <w:rPr>
          <w:rFonts w:ascii="Arial" w:hAnsi="Arial" w:cs="Arial"/>
          <w:lang w:val="en-US"/>
        </w:rPr>
        <w:t>DCI</w:t>
      </w:r>
      <w:r w:rsidRPr="0042395E">
        <w:rPr>
          <w:rFonts w:ascii="Arial" w:hAnsi="Arial" w:cs="Arial"/>
          <w:lang w:val="en-US"/>
        </w:rPr>
        <w:t xml:space="preserve">, </w:t>
      </w:r>
      <w:r w:rsidR="000C2636" w:rsidRPr="0042395E">
        <w:rPr>
          <w:rFonts w:ascii="Arial" w:hAnsi="Arial" w:cs="Arial"/>
          <w:lang w:val="en-US"/>
        </w:rPr>
        <w:t>the following is proposed:</w:t>
      </w:r>
      <w:r w:rsidR="00B25453" w:rsidRPr="0042395E">
        <w:rPr>
          <w:rFonts w:ascii="Arial" w:hAnsi="Arial" w:cs="Arial"/>
          <w:lang w:val="en-US"/>
        </w:rPr>
        <w:t xml:space="preserve"> </w:t>
      </w:r>
    </w:p>
    <w:p w14:paraId="24444FB9" w14:textId="338F902D" w:rsidR="00263DE9" w:rsidRPr="00263DE9" w:rsidRDefault="00263DE9" w:rsidP="00263DE9">
      <w:pPr>
        <w:pStyle w:val="Proposal"/>
        <w:rPr>
          <w:lang w:val="en-US"/>
        </w:rPr>
      </w:pPr>
      <w:bookmarkStart w:id="17" w:name="_Toc16872203"/>
      <w:r w:rsidRPr="0042395E">
        <w:rPr>
          <w:lang w:val="en-US"/>
        </w:rPr>
        <w:t>For unicast, a parameter of size log2(max RRC configured TBs)</w:t>
      </w:r>
      <w:r>
        <w:rPr>
          <w:lang w:val="en-US"/>
        </w:rPr>
        <w:t>, i.e.</w:t>
      </w:r>
      <w:r w:rsidRPr="0042395E">
        <w:rPr>
          <w:lang w:val="en-US"/>
        </w:rPr>
        <w:t xml:space="preserve"> {1, 2, 3}</w:t>
      </w:r>
      <w:r>
        <w:rPr>
          <w:lang w:val="en-US"/>
        </w:rPr>
        <w:t xml:space="preserve"> bits,</w:t>
      </w:r>
      <w:r w:rsidRPr="0042395E">
        <w:rPr>
          <w:lang w:val="en-US"/>
        </w:rPr>
        <w:t xml:space="preserve"> is added to the DCI to indicate the number of scheduled TBs.</w:t>
      </w:r>
      <w:bookmarkEnd w:id="17"/>
    </w:p>
    <w:p w14:paraId="6B85C455" w14:textId="5E1C9263" w:rsidR="00023D2B" w:rsidRDefault="00023D2B" w:rsidP="00AD60B0">
      <w:pPr>
        <w:pStyle w:val="Proposal"/>
        <w:jc w:val="left"/>
        <w:rPr>
          <w:lang w:val="en-US"/>
        </w:rPr>
      </w:pPr>
      <w:bookmarkStart w:id="18" w:name="_Toc16872204"/>
      <w:r w:rsidRPr="0042395E">
        <w:rPr>
          <w:lang w:val="en-US"/>
        </w:rPr>
        <w:t xml:space="preserve">For unicast, </w:t>
      </w:r>
      <w:r w:rsidR="00D36087">
        <w:rPr>
          <w:lang w:val="en-US"/>
        </w:rPr>
        <w:t xml:space="preserve">when </w:t>
      </w:r>
      <w:r w:rsidR="00413520">
        <w:rPr>
          <w:lang w:val="en-US"/>
        </w:rPr>
        <w:t xml:space="preserve">RRC </w:t>
      </w:r>
      <w:r w:rsidR="00D36087" w:rsidRPr="00A66B89">
        <w:rPr>
          <w:lang w:val="en-US"/>
        </w:rPr>
        <w:t>configured</w:t>
      </w:r>
      <w:r w:rsidR="00D36087">
        <w:rPr>
          <w:lang w:val="en-US"/>
        </w:rPr>
        <w:t xml:space="preserve"> with </w:t>
      </w:r>
      <w:r w:rsidR="00200C96">
        <w:rPr>
          <w:lang w:val="en-US"/>
        </w:rPr>
        <w:t xml:space="preserve">a </w:t>
      </w:r>
      <w:r w:rsidR="00263DE9">
        <w:rPr>
          <w:lang w:val="en-US"/>
        </w:rPr>
        <w:t>maximum</w:t>
      </w:r>
      <w:r w:rsidR="009F3FCA">
        <w:rPr>
          <w:lang w:val="en-US"/>
        </w:rPr>
        <w:t xml:space="preserve"> </w:t>
      </w:r>
      <w:r w:rsidR="002C3BE0">
        <w:rPr>
          <w:lang w:val="en-US"/>
        </w:rPr>
        <w:t xml:space="preserve">of 2 </w:t>
      </w:r>
      <w:r w:rsidR="009F3FCA">
        <w:rPr>
          <w:lang w:val="en-US"/>
        </w:rPr>
        <w:t xml:space="preserve">TBs, </w:t>
      </w:r>
      <w:r w:rsidR="00382C50" w:rsidRPr="0042395E">
        <w:rPr>
          <w:lang w:val="en-US"/>
        </w:rPr>
        <w:t xml:space="preserve">the </w:t>
      </w:r>
      <w:r w:rsidR="00AE2CBD">
        <w:rPr>
          <w:lang w:val="en-US"/>
        </w:rPr>
        <w:t xml:space="preserve">allocated HARQ processes are contiguous and the value for the first </w:t>
      </w:r>
      <w:r w:rsidR="00382C50" w:rsidRPr="0042395E">
        <w:rPr>
          <w:lang w:val="en-US"/>
        </w:rPr>
        <w:t>HARQ process number</w:t>
      </w:r>
      <w:r w:rsidR="00E77BFC">
        <w:rPr>
          <w:lang w:val="en-US"/>
        </w:rPr>
        <w:t xml:space="preserve"> </w:t>
      </w:r>
      <w:r w:rsidR="00AE2CBD">
        <w:rPr>
          <w:lang w:val="en-US"/>
        </w:rPr>
        <w:t>is reused</w:t>
      </w:r>
      <w:r w:rsidR="00F93E49" w:rsidRPr="0042395E">
        <w:rPr>
          <w:lang w:val="en-US"/>
        </w:rPr>
        <w:t>.</w:t>
      </w:r>
      <w:bookmarkEnd w:id="18"/>
      <w:r w:rsidR="006E59EA" w:rsidRPr="0042395E">
        <w:rPr>
          <w:lang w:val="en-US"/>
        </w:rPr>
        <w:t xml:space="preserve"> </w:t>
      </w:r>
    </w:p>
    <w:p w14:paraId="05498527" w14:textId="5D838053" w:rsidR="006C0C36" w:rsidRPr="00EB171B" w:rsidRDefault="006C0C36" w:rsidP="00EB171B">
      <w:pPr>
        <w:pStyle w:val="Proposal"/>
        <w:jc w:val="left"/>
        <w:rPr>
          <w:lang w:val="en-US"/>
        </w:rPr>
      </w:pPr>
      <w:bookmarkStart w:id="19" w:name="_Toc16872205"/>
      <w:r w:rsidRPr="0042395E">
        <w:rPr>
          <w:lang w:val="en-US"/>
        </w:rPr>
        <w:t>For unicas</w:t>
      </w:r>
      <w:r w:rsidR="003205A9">
        <w:rPr>
          <w:lang w:val="en-US"/>
        </w:rPr>
        <w:t xml:space="preserve">t, </w:t>
      </w:r>
      <w:r w:rsidRPr="0042395E">
        <w:rPr>
          <w:lang w:val="en-US"/>
        </w:rPr>
        <w:t xml:space="preserve">when RRC </w:t>
      </w:r>
      <w:r w:rsidRPr="003205A9">
        <w:rPr>
          <w:lang w:val="en-US"/>
        </w:rPr>
        <w:t>configured</w:t>
      </w:r>
      <w:r w:rsidRPr="0042395E">
        <w:rPr>
          <w:lang w:val="en-US"/>
        </w:rPr>
        <w:t xml:space="preserve"> with a maximum of 2 TBs, the </w:t>
      </w:r>
      <w:r w:rsidR="00786330">
        <w:rPr>
          <w:lang w:val="en-US"/>
        </w:rPr>
        <w:t xml:space="preserve">single </w:t>
      </w:r>
      <w:r w:rsidR="00EC365D">
        <w:rPr>
          <w:lang w:val="en-US"/>
        </w:rPr>
        <w:t>RV field</w:t>
      </w:r>
      <w:r w:rsidRPr="0042395E">
        <w:rPr>
          <w:lang w:val="en-US"/>
        </w:rPr>
        <w:t xml:space="preserve"> </w:t>
      </w:r>
      <w:r w:rsidR="00E27D0E">
        <w:rPr>
          <w:lang w:val="en-US"/>
        </w:rPr>
        <w:t xml:space="preserve">in the DCI </w:t>
      </w:r>
      <w:r w:rsidRPr="0042395E">
        <w:rPr>
          <w:lang w:val="en-US"/>
        </w:rPr>
        <w:t xml:space="preserve">is </w:t>
      </w:r>
      <w:r w:rsidR="00CF4A7E">
        <w:rPr>
          <w:lang w:val="en-US"/>
        </w:rPr>
        <w:t>used</w:t>
      </w:r>
      <w:r w:rsidRPr="0042395E">
        <w:rPr>
          <w:lang w:val="en-US"/>
        </w:rPr>
        <w:t xml:space="preserve"> for </w:t>
      </w:r>
      <w:r w:rsidR="003F1B0D">
        <w:rPr>
          <w:lang w:val="en-US"/>
        </w:rPr>
        <w:t>all allocated</w:t>
      </w:r>
      <w:r w:rsidRPr="0042395E">
        <w:rPr>
          <w:lang w:val="en-US"/>
        </w:rPr>
        <w:t xml:space="preserve"> HARQ processes</w:t>
      </w:r>
      <w:r w:rsidR="00004DA3">
        <w:rPr>
          <w:lang w:val="en-US"/>
        </w:rPr>
        <w:t>.</w:t>
      </w:r>
      <w:bookmarkEnd w:id="19"/>
    </w:p>
    <w:p w14:paraId="086937C6" w14:textId="0F4E4769" w:rsidR="00F41D33" w:rsidRDefault="00D0519B" w:rsidP="00CD2E01">
      <w:pPr>
        <w:rPr>
          <w:rFonts w:ascii="Arial" w:hAnsi="Arial" w:cs="Arial"/>
          <w:lang w:val="en-US"/>
        </w:rPr>
      </w:pPr>
      <w:r>
        <w:rPr>
          <w:rFonts w:ascii="Arial" w:hAnsi="Arial" w:cs="Arial"/>
          <w:lang w:val="en-US"/>
        </w:rPr>
        <w:t xml:space="preserve">The above results in an increase of the DCI with </w:t>
      </w:r>
      <w:r w:rsidR="0006346A">
        <w:rPr>
          <w:rFonts w:ascii="Arial" w:hAnsi="Arial" w:cs="Arial"/>
          <w:lang w:val="en-US"/>
        </w:rPr>
        <w:t>2</w:t>
      </w:r>
      <w:r>
        <w:rPr>
          <w:rFonts w:ascii="Arial" w:hAnsi="Arial" w:cs="Arial"/>
          <w:lang w:val="en-US"/>
        </w:rPr>
        <w:t xml:space="preserve"> bits for the case of </w:t>
      </w:r>
      <w:r w:rsidR="00782E13">
        <w:rPr>
          <w:rFonts w:ascii="Arial" w:hAnsi="Arial" w:cs="Arial"/>
          <w:lang w:val="en-US"/>
        </w:rPr>
        <w:t xml:space="preserve">RRC </w:t>
      </w:r>
      <w:r>
        <w:rPr>
          <w:rFonts w:ascii="Arial" w:hAnsi="Arial" w:cs="Arial"/>
          <w:lang w:val="en-US"/>
        </w:rPr>
        <w:t>configuration</w:t>
      </w:r>
      <w:r w:rsidR="00782E13">
        <w:rPr>
          <w:rFonts w:ascii="Arial" w:hAnsi="Arial" w:cs="Arial"/>
          <w:lang w:val="en-US"/>
        </w:rPr>
        <w:t xml:space="preserve"> of scheduling of max 2 TBs.</w:t>
      </w:r>
    </w:p>
    <w:p w14:paraId="49164E40" w14:textId="715222D7" w:rsidR="0077036D" w:rsidRPr="00CD2E01" w:rsidRDefault="0077036D" w:rsidP="0077036D">
      <w:pPr>
        <w:pStyle w:val="Proposal"/>
        <w:jc w:val="left"/>
        <w:rPr>
          <w:lang w:val="en-US"/>
        </w:rPr>
      </w:pPr>
      <w:bookmarkStart w:id="20" w:name="_Toc16872206"/>
      <w:r>
        <w:rPr>
          <w:lang w:val="en-US"/>
        </w:rPr>
        <w:t xml:space="preserve">For unicast, </w:t>
      </w:r>
      <w:r w:rsidRPr="0042395E">
        <w:rPr>
          <w:lang w:val="en-US"/>
        </w:rPr>
        <w:t xml:space="preserve">when RRC </w:t>
      </w:r>
      <w:r w:rsidRPr="003205A9">
        <w:rPr>
          <w:lang w:val="en-US"/>
        </w:rPr>
        <w:t>configured</w:t>
      </w:r>
      <w:r w:rsidRPr="0042395E">
        <w:rPr>
          <w:lang w:val="en-US"/>
        </w:rPr>
        <w:t xml:space="preserve"> with a maximum of </w:t>
      </w:r>
      <w:r>
        <w:rPr>
          <w:lang w:val="en-US"/>
        </w:rPr>
        <w:t>4 or 8</w:t>
      </w:r>
      <w:r w:rsidRPr="0042395E">
        <w:rPr>
          <w:lang w:val="en-US"/>
        </w:rPr>
        <w:t xml:space="preserve"> TBs</w:t>
      </w:r>
      <w:r>
        <w:rPr>
          <w:lang w:val="en-US"/>
        </w:rPr>
        <w:t xml:space="preserve">, the </w:t>
      </w:r>
      <w:r w:rsidR="00700BC2">
        <w:rPr>
          <w:lang w:val="en-US"/>
        </w:rPr>
        <w:t>indication of allocated HARQ processes and RV for the respective HARQ process is further studied.</w:t>
      </w:r>
      <w:bookmarkEnd w:id="20"/>
    </w:p>
    <w:p w14:paraId="41EDA234" w14:textId="20E82CFE" w:rsidR="00466C08" w:rsidRPr="0042395E" w:rsidRDefault="005E341A" w:rsidP="004C27DD">
      <w:pPr>
        <w:pStyle w:val="Heading1"/>
        <w:rPr>
          <w:rFonts w:cs="Arial"/>
          <w:lang w:val="en-US"/>
        </w:rPr>
      </w:pPr>
      <w:r w:rsidRPr="0042395E">
        <w:rPr>
          <w:lang w:val="en-US"/>
        </w:rPr>
        <w:lastRenderedPageBreak/>
        <w:t>3</w:t>
      </w:r>
      <w:r w:rsidRPr="0042395E">
        <w:rPr>
          <w:lang w:val="en-US"/>
        </w:rPr>
        <w:tab/>
      </w:r>
      <w:r w:rsidR="00466C08" w:rsidRPr="0042395E">
        <w:rPr>
          <w:rFonts w:cs="Arial"/>
          <w:lang w:val="en-US"/>
        </w:rPr>
        <w:t>Multicast</w:t>
      </w:r>
    </w:p>
    <w:p w14:paraId="3B3A698A" w14:textId="711E4572" w:rsidR="00020FF6" w:rsidRPr="0042395E" w:rsidRDefault="00C23F64" w:rsidP="004C27DD">
      <w:pPr>
        <w:pStyle w:val="BodyText"/>
        <w:jc w:val="left"/>
        <w:rPr>
          <w:rFonts w:eastAsia="Batang" w:cs="Arial"/>
          <w:i/>
          <w:lang w:val="en-US" w:eastAsia="x-none"/>
        </w:rPr>
      </w:pPr>
      <w:r w:rsidRPr="0042395E">
        <w:rPr>
          <w:rFonts w:cs="Arial"/>
          <w:lang w:val="en-US" w:eastAsia="zh-CN"/>
        </w:rPr>
        <w:t>I</w:t>
      </w:r>
      <w:r w:rsidR="00C556F0" w:rsidRPr="0042395E">
        <w:rPr>
          <w:rFonts w:cs="Arial"/>
          <w:lang w:val="en-US" w:eastAsia="zh-CN"/>
        </w:rPr>
        <w:t xml:space="preserve">t </w:t>
      </w:r>
      <w:r w:rsidR="006C025D">
        <w:rPr>
          <w:rFonts w:cs="Arial"/>
          <w:lang w:val="en-US" w:eastAsia="zh-CN"/>
        </w:rPr>
        <w:t>was</w:t>
      </w:r>
      <w:r w:rsidR="00C556F0" w:rsidRPr="0042395E">
        <w:rPr>
          <w:rFonts w:cs="Arial"/>
          <w:lang w:val="en-US" w:eastAsia="zh-CN"/>
        </w:rPr>
        <w:t xml:space="preserve"> agreed </w:t>
      </w:r>
      <w:r w:rsidRPr="0042395E">
        <w:rPr>
          <w:rFonts w:cs="Arial"/>
          <w:lang w:val="en-US" w:eastAsia="zh-CN"/>
        </w:rPr>
        <w:t>in RAN1#9</w:t>
      </w:r>
      <w:r w:rsidR="00980894" w:rsidRPr="0042395E">
        <w:rPr>
          <w:rFonts w:cs="Arial"/>
          <w:lang w:val="en-US" w:eastAsia="zh-CN"/>
        </w:rPr>
        <w:t>7</w:t>
      </w:r>
      <w:r w:rsidRPr="0042395E">
        <w:rPr>
          <w:rFonts w:cs="Arial"/>
          <w:lang w:val="en-US" w:eastAsia="zh-CN"/>
        </w:rPr>
        <w:t xml:space="preserve"> </w:t>
      </w:r>
      <w:r w:rsidR="00C556F0" w:rsidRPr="0042395E">
        <w:rPr>
          <w:rFonts w:cs="Arial"/>
          <w:lang w:val="en-US" w:eastAsia="zh-CN"/>
        </w:rPr>
        <w:t xml:space="preserve">that </w:t>
      </w:r>
      <w:r w:rsidR="00980894" w:rsidRPr="0042395E">
        <w:rPr>
          <w:rFonts w:cs="Arial"/>
          <w:lang w:val="en-US" w:eastAsia="zh-CN"/>
        </w:rPr>
        <w:t xml:space="preserve">for scheduling of multiple TBs </w:t>
      </w:r>
      <w:r w:rsidR="001210DF">
        <w:rPr>
          <w:rFonts w:cs="Arial"/>
          <w:lang w:val="en-US" w:eastAsia="zh-CN"/>
        </w:rPr>
        <w:t>carrying</w:t>
      </w:r>
      <w:r w:rsidR="00980894" w:rsidRPr="0042395E">
        <w:rPr>
          <w:rFonts w:cs="Arial"/>
          <w:lang w:val="en-US" w:eastAsia="zh-CN"/>
        </w:rPr>
        <w:t xml:space="preserve"> SC-MTCH, a DCI field indicates the number of scheduled TBs</w:t>
      </w:r>
      <w:r w:rsidR="00244D6A" w:rsidRPr="0042395E">
        <w:rPr>
          <w:rFonts w:cs="Arial"/>
          <w:lang w:val="en-US" w:eastAsia="zh-CN"/>
        </w:rPr>
        <w:t xml:space="preserve">. </w:t>
      </w:r>
      <w:r w:rsidR="00C556F0" w:rsidRPr="0042395E">
        <w:rPr>
          <w:rFonts w:cs="Arial"/>
          <w:lang w:val="en-US" w:eastAsia="zh-CN"/>
        </w:rPr>
        <w:t>Since</w:t>
      </w:r>
      <w:r w:rsidR="00020FF6" w:rsidRPr="0042395E">
        <w:rPr>
          <w:rFonts w:cs="Arial"/>
          <w:lang w:val="en-US" w:eastAsia="zh-CN"/>
        </w:rPr>
        <w:t xml:space="preserve"> the current SC-MTCH DCI is much smaller than the unicast DCI, </w:t>
      </w:r>
      <w:r w:rsidR="00C556F0" w:rsidRPr="0042395E">
        <w:rPr>
          <w:rFonts w:cs="Arial"/>
          <w:lang w:val="en-US" w:eastAsia="zh-CN"/>
        </w:rPr>
        <w:t>it</w:t>
      </w:r>
      <w:r w:rsidR="00020FF6" w:rsidRPr="0042395E">
        <w:rPr>
          <w:rFonts w:cs="Arial"/>
          <w:lang w:val="en-US" w:eastAsia="zh-CN"/>
        </w:rPr>
        <w:t xml:space="preserve"> should be </w:t>
      </w:r>
      <w:r w:rsidR="00C556F0" w:rsidRPr="0042395E">
        <w:rPr>
          <w:rFonts w:cs="Arial"/>
          <w:lang w:val="en-US" w:eastAsia="zh-CN"/>
        </w:rPr>
        <w:t>possible</w:t>
      </w:r>
      <w:r w:rsidR="00020FF6" w:rsidRPr="0042395E">
        <w:rPr>
          <w:rFonts w:cs="Arial"/>
          <w:lang w:val="en-US" w:eastAsia="zh-CN"/>
        </w:rPr>
        <w:t xml:space="preserve"> to introduce more bits in the DCI to indicate the number of scheduled SC-MTCH segments.</w:t>
      </w:r>
      <w:r w:rsidR="00C556F0" w:rsidRPr="0042395E">
        <w:rPr>
          <w:rFonts w:cs="Arial"/>
          <w:lang w:val="en-US" w:eastAsia="zh-CN"/>
        </w:rPr>
        <w:t xml:space="preserve"> At the same time, the increase of the DCI size should be kept to a minimum to obtain maximum coverage. Considering both DCI size increase and scheduling flexibility, it is proposed to introduce </w:t>
      </w:r>
      <w:r w:rsidR="00F83DAD" w:rsidRPr="0042395E">
        <w:rPr>
          <w:rFonts w:cs="Arial"/>
          <w:lang w:val="en-US" w:eastAsia="zh-CN"/>
        </w:rPr>
        <w:t>3</w:t>
      </w:r>
      <w:r w:rsidR="00020FF6" w:rsidRPr="0042395E">
        <w:rPr>
          <w:rFonts w:cs="Arial"/>
          <w:lang w:val="en-US" w:eastAsia="zh-CN"/>
        </w:rPr>
        <w:t xml:space="preserve"> bits</w:t>
      </w:r>
      <w:r w:rsidR="00C556F0" w:rsidRPr="0042395E">
        <w:rPr>
          <w:rFonts w:cs="Arial"/>
          <w:lang w:val="en-US" w:eastAsia="zh-CN"/>
        </w:rPr>
        <w:t xml:space="preserve"> indicating the number of SC-MTCH segments</w:t>
      </w:r>
      <w:r w:rsidR="00F83DAD" w:rsidRPr="0042395E">
        <w:rPr>
          <w:rFonts w:cs="Arial"/>
          <w:lang w:val="en-US" w:eastAsia="zh-CN"/>
        </w:rPr>
        <w:t>.</w:t>
      </w:r>
    </w:p>
    <w:p w14:paraId="4AEFB1C4" w14:textId="3AFE8298" w:rsidR="00020FF6" w:rsidRPr="0042395E" w:rsidRDefault="00FC3F30" w:rsidP="004C27DD">
      <w:pPr>
        <w:pStyle w:val="Proposal"/>
        <w:tabs>
          <w:tab w:val="clear" w:pos="1304"/>
        </w:tabs>
        <w:overflowPunct w:val="0"/>
        <w:autoSpaceDE w:val="0"/>
        <w:autoSpaceDN w:val="0"/>
        <w:adjustRightInd w:val="0"/>
        <w:spacing w:line="240" w:lineRule="auto"/>
        <w:ind w:left="1701" w:hanging="1701"/>
        <w:jc w:val="left"/>
        <w:textAlignment w:val="baseline"/>
        <w:rPr>
          <w:rFonts w:cs="Arial"/>
          <w:lang w:val="en-US"/>
        </w:rPr>
      </w:pPr>
      <w:bookmarkStart w:id="21" w:name="_Toc873511"/>
      <w:bookmarkStart w:id="22" w:name="_Toc16872207"/>
      <w:r w:rsidRPr="0042395E">
        <w:rPr>
          <w:rFonts w:cs="Arial"/>
          <w:lang w:val="en-US" w:eastAsia="zh-CN"/>
        </w:rPr>
        <w:t>For SC-MTCH, t</w:t>
      </w:r>
      <w:r w:rsidR="00505206" w:rsidRPr="0042395E">
        <w:rPr>
          <w:rFonts w:cs="Arial"/>
          <w:lang w:val="en-US" w:eastAsia="zh-CN"/>
        </w:rPr>
        <w:t>he DCI field indicating the number of scheduled TBs</w:t>
      </w:r>
      <w:r w:rsidR="00505206" w:rsidRPr="0042395E">
        <w:rPr>
          <w:rFonts w:cs="Arial"/>
          <w:lang w:val="en-US"/>
        </w:rPr>
        <w:t xml:space="preserve"> </w:t>
      </w:r>
      <w:r w:rsidRPr="0042395E">
        <w:rPr>
          <w:rFonts w:cs="Arial"/>
          <w:lang w:val="en-US"/>
        </w:rPr>
        <w:t xml:space="preserve">is of size </w:t>
      </w:r>
      <w:r w:rsidR="00F83DAD" w:rsidRPr="0042395E">
        <w:rPr>
          <w:rFonts w:cs="Arial"/>
          <w:lang w:val="en-US"/>
        </w:rPr>
        <w:t>3</w:t>
      </w:r>
      <w:r w:rsidR="00020FF6" w:rsidRPr="0042395E">
        <w:rPr>
          <w:rFonts w:cs="Arial"/>
          <w:lang w:val="en-US"/>
        </w:rPr>
        <w:t xml:space="preserve"> bits</w:t>
      </w:r>
      <w:r w:rsidRPr="0042395E">
        <w:rPr>
          <w:rFonts w:cs="Arial"/>
          <w:lang w:val="en-US"/>
        </w:rPr>
        <w:t xml:space="preserve">, </w:t>
      </w:r>
      <w:r w:rsidR="00020FF6" w:rsidRPr="0042395E">
        <w:rPr>
          <w:rFonts w:cs="Arial"/>
          <w:lang w:val="en-US"/>
        </w:rPr>
        <w:t>indicat</w:t>
      </w:r>
      <w:r w:rsidR="002C74E7" w:rsidRPr="0042395E">
        <w:rPr>
          <w:rFonts w:cs="Arial"/>
          <w:lang w:val="en-US"/>
        </w:rPr>
        <w:t>ing</w:t>
      </w:r>
      <w:r w:rsidR="00020FF6" w:rsidRPr="0042395E">
        <w:rPr>
          <w:rFonts w:cs="Arial"/>
          <w:lang w:val="en-US"/>
        </w:rPr>
        <w:t xml:space="preserve"> the number of scheduled SC-MTCH segments</w:t>
      </w:r>
      <w:bookmarkEnd w:id="21"/>
      <w:r w:rsidRPr="0042395E">
        <w:rPr>
          <w:rFonts w:cs="Arial"/>
          <w:lang w:val="en-US"/>
        </w:rPr>
        <w:t xml:space="preserve"> in the range {1-8}</w:t>
      </w:r>
      <w:r w:rsidR="00F83DAD" w:rsidRPr="0042395E">
        <w:rPr>
          <w:rFonts w:cs="Arial"/>
          <w:lang w:val="en-US"/>
        </w:rPr>
        <w:t>.</w:t>
      </w:r>
      <w:bookmarkEnd w:id="22"/>
    </w:p>
    <w:p w14:paraId="0F4C67A4" w14:textId="34191955" w:rsidR="00C01F33" w:rsidRPr="0042395E" w:rsidRDefault="00385D16" w:rsidP="004C27DD">
      <w:pPr>
        <w:pStyle w:val="Heading1"/>
        <w:rPr>
          <w:lang w:val="en-US"/>
        </w:rPr>
      </w:pPr>
      <w:r w:rsidRPr="0042395E">
        <w:rPr>
          <w:lang w:val="en-US"/>
        </w:rPr>
        <w:t>4</w:t>
      </w:r>
      <w:r w:rsidRPr="0042395E">
        <w:rPr>
          <w:lang w:val="en-US"/>
        </w:rPr>
        <w:tab/>
      </w:r>
      <w:r w:rsidR="00C01F33" w:rsidRPr="0042395E">
        <w:rPr>
          <w:lang w:val="en-US"/>
        </w:rPr>
        <w:t>Conclusion</w:t>
      </w:r>
    </w:p>
    <w:p w14:paraId="0E1A0F94" w14:textId="43031126" w:rsidR="000C5700" w:rsidRPr="0042395E" w:rsidRDefault="000C5700" w:rsidP="000C5700">
      <w:pPr>
        <w:pStyle w:val="BodyText"/>
        <w:rPr>
          <w:rFonts w:eastAsia="Times New Roman" w:cs="Times New Roman"/>
          <w:b/>
          <w:bCs/>
          <w:sz w:val="20"/>
          <w:szCs w:val="20"/>
          <w:lang w:val="en-US"/>
        </w:rPr>
      </w:pPr>
      <w:r w:rsidRPr="0042395E">
        <w:rPr>
          <w:lang w:val="en-US"/>
        </w:rPr>
        <w:t>We have made the following observations:</w:t>
      </w:r>
    </w:p>
    <w:p w14:paraId="1F271CDB" w14:textId="5012F9D1" w:rsidR="00EB3DEC" w:rsidRDefault="000C5700">
      <w:pPr>
        <w:pStyle w:val="TableofFigures"/>
        <w:tabs>
          <w:tab w:val="right" w:leader="dot" w:pos="9629"/>
        </w:tabs>
        <w:rPr>
          <w:rFonts w:asciiTheme="minorHAnsi" w:eastAsiaTheme="minorEastAsia" w:hAnsiTheme="minorHAnsi"/>
          <w:b w:val="0"/>
          <w:noProof/>
          <w:lang w:eastAsia="sv-SE"/>
        </w:rPr>
      </w:pPr>
      <w:r w:rsidRPr="0042395E">
        <w:rPr>
          <w:rFonts w:eastAsia="Times New Roman" w:cs="Times New Roman"/>
          <w:bCs/>
          <w:sz w:val="20"/>
          <w:szCs w:val="20"/>
          <w:lang w:val="en-US"/>
        </w:rPr>
        <w:fldChar w:fldCharType="begin"/>
      </w:r>
      <w:r w:rsidRPr="0042395E">
        <w:rPr>
          <w:rFonts w:eastAsia="Times New Roman" w:cs="Times New Roman"/>
          <w:bCs/>
          <w:sz w:val="20"/>
          <w:szCs w:val="20"/>
          <w:lang w:val="en-US"/>
        </w:rPr>
        <w:instrText xml:space="preserve"> TOC \f O \n \h \z \t "Observation" \c </w:instrText>
      </w:r>
      <w:r w:rsidRPr="0042395E">
        <w:rPr>
          <w:rFonts w:eastAsia="Times New Roman" w:cs="Times New Roman"/>
          <w:bCs/>
          <w:sz w:val="20"/>
          <w:szCs w:val="20"/>
          <w:lang w:val="en-US"/>
        </w:rPr>
        <w:fldChar w:fldCharType="separate"/>
      </w:r>
      <w:hyperlink w:anchor="_Toc16872193" w:history="1">
        <w:r w:rsidR="00EB3DEC" w:rsidRPr="001643DF">
          <w:rPr>
            <w:rStyle w:val="Hyperlink"/>
            <w:noProof/>
            <w:lang w:val="en-US"/>
          </w:rPr>
          <w:t>Observation 1</w:t>
        </w:r>
        <w:r w:rsidR="00EB3DEC">
          <w:rPr>
            <w:rFonts w:asciiTheme="minorHAnsi" w:eastAsiaTheme="minorEastAsia" w:hAnsiTheme="minorHAnsi"/>
            <w:b w:val="0"/>
            <w:noProof/>
            <w:lang w:eastAsia="sv-SE"/>
          </w:rPr>
          <w:tab/>
        </w:r>
        <w:r w:rsidR="00EB3DEC" w:rsidRPr="001643DF">
          <w:rPr>
            <w:rStyle w:val="Hyperlink"/>
            <w:rFonts w:cs="Arial"/>
            <w:noProof/>
            <w:lang w:val="en-US"/>
          </w:rPr>
          <w:t>It is beneficial if the solution for scheduling of multiple TBs gives the same scheduling flexibility as legacy operation in good radio conditions, i.e. when only single TB scheduling are needed to support the traffic conditions.</w:t>
        </w:r>
      </w:hyperlink>
    </w:p>
    <w:p w14:paraId="3A8AB4A2" w14:textId="2FDC762E" w:rsidR="00EB3DEC" w:rsidRDefault="00EB3DEC">
      <w:pPr>
        <w:pStyle w:val="TableofFigures"/>
        <w:tabs>
          <w:tab w:val="right" w:leader="dot" w:pos="9629"/>
        </w:tabs>
        <w:rPr>
          <w:rFonts w:asciiTheme="minorHAnsi" w:eastAsiaTheme="minorEastAsia" w:hAnsiTheme="minorHAnsi"/>
          <w:b w:val="0"/>
          <w:noProof/>
          <w:lang w:eastAsia="sv-SE"/>
        </w:rPr>
      </w:pPr>
      <w:hyperlink w:anchor="_Toc16872194" w:history="1">
        <w:r w:rsidRPr="001643DF">
          <w:rPr>
            <w:rStyle w:val="Hyperlink"/>
            <w:noProof/>
            <w:lang w:val="en-US"/>
          </w:rPr>
          <w:t>Observation 2</w:t>
        </w:r>
        <w:r>
          <w:rPr>
            <w:rFonts w:asciiTheme="minorHAnsi" w:eastAsiaTheme="minorEastAsia" w:hAnsiTheme="minorHAnsi"/>
            <w:b w:val="0"/>
            <w:noProof/>
            <w:lang w:eastAsia="sv-SE"/>
          </w:rPr>
          <w:tab/>
        </w:r>
        <w:r w:rsidRPr="001643DF">
          <w:rPr>
            <w:rStyle w:val="Hyperlink"/>
            <w:noProof/>
            <w:lang w:val="en-US"/>
          </w:rPr>
          <w:t>The total transmission length when allocating 8 TBs with one DCI may be prohibitively large for certain services.</w:t>
        </w:r>
      </w:hyperlink>
    </w:p>
    <w:p w14:paraId="764071BB" w14:textId="3D3ABE1E" w:rsidR="00EB3DEC" w:rsidRDefault="00EB3DEC">
      <w:pPr>
        <w:pStyle w:val="TableofFigures"/>
        <w:tabs>
          <w:tab w:val="right" w:leader="dot" w:pos="9629"/>
        </w:tabs>
        <w:rPr>
          <w:rFonts w:asciiTheme="minorHAnsi" w:eastAsiaTheme="minorEastAsia" w:hAnsiTheme="minorHAnsi"/>
          <w:b w:val="0"/>
          <w:noProof/>
          <w:lang w:eastAsia="sv-SE"/>
        </w:rPr>
      </w:pPr>
      <w:hyperlink w:anchor="_Toc16872195" w:history="1">
        <w:r w:rsidRPr="001643DF">
          <w:rPr>
            <w:rStyle w:val="Hyperlink"/>
            <w:noProof/>
            <w:lang w:val="en-US"/>
          </w:rPr>
          <w:t>Observation 3</w:t>
        </w:r>
        <w:r>
          <w:rPr>
            <w:rFonts w:asciiTheme="minorHAnsi" w:eastAsiaTheme="minorEastAsia" w:hAnsiTheme="minorHAnsi"/>
            <w:b w:val="0"/>
            <w:noProof/>
            <w:lang w:eastAsia="sv-SE"/>
          </w:rPr>
          <w:tab/>
        </w:r>
        <w:r w:rsidRPr="001643DF">
          <w:rPr>
            <w:rStyle w:val="Hyperlink"/>
            <w:noProof/>
            <w:lang w:val="en-US"/>
          </w:rPr>
          <w:t xml:space="preserve">A gain in the order of </w:t>
        </w:r>
        <w:r w:rsidRPr="001643DF">
          <w:rPr>
            <w:rStyle w:val="Hyperlink"/>
            <w:rFonts w:cs="Arial"/>
            <w:noProof/>
            <w:lang w:val="en-US" w:eastAsia="en-GB"/>
          </w:rPr>
          <w:t xml:space="preserve">0.5 to 2.3dB (depending on number of repetitions on MPDCCH and PUSCH) may be achieved when </w:t>
        </w:r>
        <w:r w:rsidRPr="001643DF">
          <w:rPr>
            <w:rStyle w:val="Hyperlink"/>
            <w:noProof/>
            <w:lang w:val="en-US"/>
          </w:rPr>
          <w:t>allocating 2 TBs with one DCI.</w:t>
        </w:r>
      </w:hyperlink>
    </w:p>
    <w:p w14:paraId="21580CB2" w14:textId="37D6FFBA" w:rsidR="00EB3DEC" w:rsidRDefault="00EB3DEC">
      <w:pPr>
        <w:pStyle w:val="TableofFigures"/>
        <w:tabs>
          <w:tab w:val="right" w:leader="dot" w:pos="9629"/>
        </w:tabs>
        <w:rPr>
          <w:rFonts w:asciiTheme="minorHAnsi" w:eastAsiaTheme="minorEastAsia" w:hAnsiTheme="minorHAnsi"/>
          <w:b w:val="0"/>
          <w:noProof/>
          <w:lang w:eastAsia="sv-SE"/>
        </w:rPr>
      </w:pPr>
      <w:hyperlink w:anchor="_Toc16872196" w:history="1">
        <w:r w:rsidRPr="001643DF">
          <w:rPr>
            <w:rStyle w:val="Hyperlink"/>
            <w:noProof/>
            <w:lang w:val="en-US"/>
          </w:rPr>
          <w:t>Observation 4</w:t>
        </w:r>
        <w:r>
          <w:rPr>
            <w:rFonts w:asciiTheme="minorHAnsi" w:eastAsiaTheme="minorEastAsia" w:hAnsiTheme="minorHAnsi"/>
            <w:b w:val="0"/>
            <w:noProof/>
            <w:lang w:eastAsia="sv-SE"/>
          </w:rPr>
          <w:tab/>
        </w:r>
        <w:r w:rsidRPr="001643DF">
          <w:rPr>
            <w:rStyle w:val="Hyperlink"/>
            <w:noProof/>
            <w:lang w:val="en-US"/>
          </w:rPr>
          <w:t>Adding max 3 bits in the DCI reduces the MPDCCH coverage by 0.19-0.26 dB, whereas adding 12 bits reduces the MPDCCH coverage by 0.70-0.89 dB.</w:t>
        </w:r>
      </w:hyperlink>
    </w:p>
    <w:p w14:paraId="49EBC295" w14:textId="58776DEB" w:rsidR="00EB3DEC" w:rsidRDefault="00EB3DEC">
      <w:pPr>
        <w:pStyle w:val="TableofFigures"/>
        <w:tabs>
          <w:tab w:val="right" w:leader="dot" w:pos="9629"/>
        </w:tabs>
        <w:rPr>
          <w:rFonts w:asciiTheme="minorHAnsi" w:eastAsiaTheme="minorEastAsia" w:hAnsiTheme="minorHAnsi"/>
          <w:b w:val="0"/>
          <w:noProof/>
          <w:lang w:eastAsia="sv-SE"/>
        </w:rPr>
      </w:pPr>
      <w:hyperlink w:anchor="_Toc16872197" w:history="1">
        <w:r w:rsidRPr="001643DF">
          <w:rPr>
            <w:rStyle w:val="Hyperlink"/>
            <w:rFonts w:cs="Arial"/>
            <w:noProof/>
            <w:lang w:val="en-US"/>
          </w:rPr>
          <w:t>Observation 5</w:t>
        </w:r>
        <w:r>
          <w:rPr>
            <w:rFonts w:asciiTheme="minorHAnsi" w:eastAsiaTheme="minorEastAsia" w:hAnsiTheme="minorHAnsi"/>
            <w:b w:val="0"/>
            <w:noProof/>
            <w:lang w:eastAsia="sv-SE"/>
          </w:rPr>
          <w:tab/>
        </w:r>
        <w:r w:rsidRPr="001643DF">
          <w:rPr>
            <w:rStyle w:val="Hyperlink"/>
            <w:noProof/>
            <w:lang w:val="en-US"/>
          </w:rPr>
          <w:t>For unicast, the specification of the allocated HARQ processes in conjunction with retransmissions needs further study.</w:t>
        </w:r>
      </w:hyperlink>
    </w:p>
    <w:p w14:paraId="7494B7A0" w14:textId="12E9E44F" w:rsidR="00EB3DEC" w:rsidRDefault="00EB3DEC">
      <w:pPr>
        <w:pStyle w:val="TableofFigures"/>
        <w:tabs>
          <w:tab w:val="right" w:leader="dot" w:pos="9629"/>
        </w:tabs>
        <w:rPr>
          <w:rFonts w:asciiTheme="minorHAnsi" w:eastAsiaTheme="minorEastAsia" w:hAnsiTheme="minorHAnsi"/>
          <w:b w:val="0"/>
          <w:noProof/>
          <w:lang w:eastAsia="sv-SE"/>
        </w:rPr>
      </w:pPr>
      <w:hyperlink w:anchor="_Toc16872198" w:history="1">
        <w:r w:rsidRPr="001643DF">
          <w:rPr>
            <w:rStyle w:val="Hyperlink"/>
            <w:noProof/>
            <w:lang w:val="en-US"/>
          </w:rPr>
          <w:t>Observation 6</w:t>
        </w:r>
        <w:r>
          <w:rPr>
            <w:rFonts w:asciiTheme="minorHAnsi" w:eastAsiaTheme="minorEastAsia" w:hAnsiTheme="minorHAnsi"/>
            <w:b w:val="0"/>
            <w:noProof/>
            <w:lang w:eastAsia="sv-SE"/>
          </w:rPr>
          <w:tab/>
        </w:r>
        <w:r w:rsidRPr="001643DF">
          <w:rPr>
            <w:rStyle w:val="Hyperlink"/>
            <w:noProof/>
            <w:lang w:val="en-US"/>
          </w:rPr>
          <w:t>For CE mode A, when 1 or 2 repetitions are used, the allocation of RV field to the scheduled HARQ processes for retransmissions needs further study.</w:t>
        </w:r>
      </w:hyperlink>
    </w:p>
    <w:p w14:paraId="737E4CAA" w14:textId="08577B70" w:rsidR="00E108DC" w:rsidRDefault="000C5700" w:rsidP="000C5700">
      <w:pPr>
        <w:pStyle w:val="BodyText"/>
        <w:jc w:val="left"/>
        <w:rPr>
          <w:rFonts w:eastAsia="Times New Roman" w:cs="Times New Roman"/>
          <w:b/>
          <w:bCs/>
          <w:sz w:val="20"/>
          <w:szCs w:val="20"/>
          <w:lang w:val="en-US" w:eastAsia="zh-CN"/>
        </w:rPr>
      </w:pPr>
      <w:r w:rsidRPr="0042395E">
        <w:rPr>
          <w:rFonts w:eastAsia="Times New Roman" w:cs="Times New Roman"/>
          <w:b/>
          <w:bCs/>
          <w:sz w:val="20"/>
          <w:szCs w:val="20"/>
          <w:lang w:val="en-US" w:eastAsia="zh-CN"/>
        </w:rPr>
        <w:fldChar w:fldCharType="end"/>
      </w:r>
    </w:p>
    <w:p w14:paraId="3BDF679D" w14:textId="0AAEEB1C" w:rsidR="006E1C82" w:rsidRPr="0042395E" w:rsidRDefault="008E065E" w:rsidP="000C5700">
      <w:pPr>
        <w:pStyle w:val="BodyText"/>
        <w:jc w:val="left"/>
        <w:rPr>
          <w:lang w:val="en-US"/>
        </w:rPr>
      </w:pPr>
      <w:r w:rsidRPr="0042395E">
        <w:rPr>
          <w:lang w:val="en-US"/>
        </w:rPr>
        <w:t xml:space="preserve">Based on the discussion in </w:t>
      </w:r>
      <w:r w:rsidR="007729A2" w:rsidRPr="0042395E">
        <w:rPr>
          <w:lang w:val="en-US"/>
        </w:rPr>
        <w:t xml:space="preserve">the previous </w:t>
      </w:r>
      <w:r w:rsidRPr="0042395E">
        <w:rPr>
          <w:lang w:val="en-US"/>
        </w:rPr>
        <w:t>section</w:t>
      </w:r>
      <w:r w:rsidR="007729A2" w:rsidRPr="0042395E">
        <w:rPr>
          <w:lang w:val="en-US"/>
        </w:rPr>
        <w:t>s</w:t>
      </w:r>
      <w:r w:rsidRPr="0042395E">
        <w:rPr>
          <w:lang w:val="en-US"/>
        </w:rPr>
        <w:t xml:space="preserve"> we propose the following:</w:t>
      </w:r>
    </w:p>
    <w:p w14:paraId="1153CBBE" w14:textId="4FC46B28" w:rsidR="00EB3DEC" w:rsidRDefault="006E1C82">
      <w:pPr>
        <w:pStyle w:val="TableofFigures"/>
        <w:tabs>
          <w:tab w:val="right" w:leader="dot" w:pos="9629"/>
        </w:tabs>
        <w:rPr>
          <w:rFonts w:asciiTheme="minorHAnsi" w:eastAsiaTheme="minorEastAsia" w:hAnsiTheme="minorHAnsi"/>
          <w:b w:val="0"/>
          <w:noProof/>
          <w:lang w:eastAsia="sv-SE"/>
        </w:rPr>
      </w:pPr>
      <w:r w:rsidRPr="0042395E">
        <w:rPr>
          <w:b w:val="0"/>
          <w:bCs/>
          <w:lang w:val="en-US"/>
        </w:rPr>
        <w:fldChar w:fldCharType="begin"/>
      </w:r>
      <w:r w:rsidRPr="0042395E">
        <w:rPr>
          <w:b w:val="0"/>
          <w:bCs/>
          <w:lang w:val="en-US"/>
        </w:rPr>
        <w:instrText xml:space="preserve"> TOC \n \h \z \t "Proposal" \c </w:instrText>
      </w:r>
      <w:r w:rsidRPr="0042395E">
        <w:rPr>
          <w:b w:val="0"/>
          <w:bCs/>
          <w:lang w:val="en-US"/>
        </w:rPr>
        <w:fldChar w:fldCharType="separate"/>
      </w:r>
      <w:hyperlink w:anchor="_Toc16872199" w:history="1">
        <w:r w:rsidR="00EB3DEC" w:rsidRPr="00C850FE">
          <w:rPr>
            <w:rStyle w:val="Hyperlink"/>
            <w:noProof/>
            <w:lang w:val="en-US"/>
          </w:rPr>
          <w:t>Proposal 1</w:t>
        </w:r>
        <w:r w:rsidR="00EB3DEC">
          <w:rPr>
            <w:rFonts w:asciiTheme="minorHAnsi" w:eastAsiaTheme="minorEastAsia" w:hAnsiTheme="minorHAnsi"/>
            <w:b w:val="0"/>
            <w:noProof/>
            <w:lang w:eastAsia="sv-SE"/>
          </w:rPr>
          <w:tab/>
        </w:r>
        <w:r w:rsidR="00EB3DEC" w:rsidRPr="00C850FE">
          <w:rPr>
            <w:rStyle w:val="Hyperlink"/>
            <w:noProof/>
            <w:lang w:val="en-US"/>
          </w:rPr>
          <w:t>Joint encoding of DCI fields should not limit the scheduling flexibility when the feature is enabled but only a single TB is scheduled.</w:t>
        </w:r>
      </w:hyperlink>
    </w:p>
    <w:p w14:paraId="56BBE7D4" w14:textId="38C9EBB3" w:rsidR="00EB3DEC" w:rsidRDefault="00EB3DEC">
      <w:pPr>
        <w:pStyle w:val="TableofFigures"/>
        <w:tabs>
          <w:tab w:val="right" w:leader="dot" w:pos="9629"/>
        </w:tabs>
        <w:rPr>
          <w:rFonts w:asciiTheme="minorHAnsi" w:eastAsiaTheme="minorEastAsia" w:hAnsiTheme="minorHAnsi"/>
          <w:b w:val="0"/>
          <w:noProof/>
          <w:lang w:eastAsia="sv-SE"/>
        </w:rPr>
      </w:pPr>
      <w:hyperlink w:anchor="_Toc16872200" w:history="1">
        <w:r w:rsidRPr="00C850FE">
          <w:rPr>
            <w:rStyle w:val="Hyperlink"/>
            <w:noProof/>
            <w:lang w:val="en-US"/>
          </w:rPr>
          <w:t>Proposal 2</w:t>
        </w:r>
        <w:r>
          <w:rPr>
            <w:rFonts w:asciiTheme="minorHAnsi" w:eastAsiaTheme="minorEastAsia" w:hAnsiTheme="minorHAnsi"/>
            <w:b w:val="0"/>
            <w:noProof/>
            <w:lang w:eastAsia="sv-SE"/>
          </w:rPr>
          <w:tab/>
        </w:r>
        <w:r w:rsidRPr="00C850FE">
          <w:rPr>
            <w:rStyle w:val="Hyperlink"/>
            <w:noProof/>
            <w:lang w:val="en-US"/>
          </w:rPr>
          <w:t>For unicast, the maximum number of TBs supported when scheduling multiple TBs with one DCI is RRC configured in the set {2, 4, 8}.</w:t>
        </w:r>
      </w:hyperlink>
    </w:p>
    <w:p w14:paraId="01B98583" w14:textId="574276AF" w:rsidR="00EB3DEC" w:rsidRDefault="00EB3DEC">
      <w:pPr>
        <w:pStyle w:val="TableofFigures"/>
        <w:tabs>
          <w:tab w:val="right" w:leader="dot" w:pos="9629"/>
        </w:tabs>
        <w:rPr>
          <w:rFonts w:asciiTheme="minorHAnsi" w:eastAsiaTheme="minorEastAsia" w:hAnsiTheme="minorHAnsi"/>
          <w:b w:val="0"/>
          <w:noProof/>
          <w:lang w:eastAsia="sv-SE"/>
        </w:rPr>
      </w:pPr>
      <w:hyperlink w:anchor="_Toc16872201" w:history="1">
        <w:r w:rsidRPr="00C850FE">
          <w:rPr>
            <w:rStyle w:val="Hyperlink"/>
            <w:noProof/>
            <w:lang w:val="en-US"/>
          </w:rPr>
          <w:t>Proposal 3</w:t>
        </w:r>
        <w:r>
          <w:rPr>
            <w:rFonts w:asciiTheme="minorHAnsi" w:eastAsiaTheme="minorEastAsia" w:hAnsiTheme="minorHAnsi"/>
            <w:b w:val="0"/>
            <w:noProof/>
            <w:lang w:eastAsia="sv-SE"/>
          </w:rPr>
          <w:tab/>
        </w:r>
        <w:r w:rsidRPr="00C850FE">
          <w:rPr>
            <w:rStyle w:val="Hyperlink"/>
            <w:noProof/>
            <w:lang w:val="en-US"/>
          </w:rPr>
          <w:t>At least for CE mode A, when 4 or more repetitions are scheduled on PUSCH/PDSCH, the single RV field in the DCI is used for all HARQ processes.</w:t>
        </w:r>
      </w:hyperlink>
    </w:p>
    <w:p w14:paraId="4543AFBB" w14:textId="6778129F" w:rsidR="00EB3DEC" w:rsidRDefault="00EB3DEC">
      <w:pPr>
        <w:pStyle w:val="TableofFigures"/>
        <w:tabs>
          <w:tab w:val="right" w:leader="dot" w:pos="9629"/>
        </w:tabs>
        <w:rPr>
          <w:rFonts w:asciiTheme="minorHAnsi" w:eastAsiaTheme="minorEastAsia" w:hAnsiTheme="minorHAnsi"/>
          <w:b w:val="0"/>
          <w:noProof/>
          <w:lang w:eastAsia="sv-SE"/>
        </w:rPr>
      </w:pPr>
      <w:hyperlink w:anchor="_Toc16872202" w:history="1">
        <w:r w:rsidRPr="00C850FE">
          <w:rPr>
            <w:rStyle w:val="Hyperlink"/>
            <w:noProof/>
            <w:lang w:val="en-US"/>
          </w:rPr>
          <w:t>Proposal 4</w:t>
        </w:r>
        <w:r>
          <w:rPr>
            <w:rFonts w:asciiTheme="minorHAnsi" w:eastAsiaTheme="minorEastAsia" w:hAnsiTheme="minorHAnsi"/>
            <w:b w:val="0"/>
            <w:noProof/>
            <w:lang w:eastAsia="sv-SE"/>
          </w:rPr>
          <w:tab/>
        </w:r>
        <w:r w:rsidRPr="00C850FE">
          <w:rPr>
            <w:rStyle w:val="Hyperlink"/>
            <w:noProof/>
            <w:lang w:val="en-US"/>
          </w:rPr>
          <w:t>For unicast, the NDI for each scheduled HARQ process is parameterized via a bitmap of length equal to the maximum RRC configured TBs, i.e. {2, 4, 8} bits.</w:t>
        </w:r>
      </w:hyperlink>
    </w:p>
    <w:p w14:paraId="50B97B2B" w14:textId="3B868BAB" w:rsidR="00EB3DEC" w:rsidRDefault="00EB3DEC">
      <w:pPr>
        <w:pStyle w:val="TableofFigures"/>
        <w:tabs>
          <w:tab w:val="right" w:leader="dot" w:pos="9629"/>
        </w:tabs>
        <w:rPr>
          <w:rFonts w:asciiTheme="minorHAnsi" w:eastAsiaTheme="minorEastAsia" w:hAnsiTheme="minorHAnsi"/>
          <w:b w:val="0"/>
          <w:noProof/>
          <w:lang w:eastAsia="sv-SE"/>
        </w:rPr>
      </w:pPr>
      <w:hyperlink w:anchor="_Toc16872203" w:history="1">
        <w:r w:rsidRPr="00C850FE">
          <w:rPr>
            <w:rStyle w:val="Hyperlink"/>
            <w:noProof/>
            <w:lang w:val="en-US"/>
          </w:rPr>
          <w:t>Proposal 5</w:t>
        </w:r>
        <w:r>
          <w:rPr>
            <w:rFonts w:asciiTheme="minorHAnsi" w:eastAsiaTheme="minorEastAsia" w:hAnsiTheme="minorHAnsi"/>
            <w:b w:val="0"/>
            <w:noProof/>
            <w:lang w:eastAsia="sv-SE"/>
          </w:rPr>
          <w:tab/>
        </w:r>
        <w:r w:rsidRPr="00C850FE">
          <w:rPr>
            <w:rStyle w:val="Hyperlink"/>
            <w:noProof/>
            <w:lang w:val="en-US"/>
          </w:rPr>
          <w:t>For unicast, a parameter of size log2(max RRC configured TBs), i.e. {1, 2, 3} bits, is added to the DCI to indicate the number of scheduled TBs.</w:t>
        </w:r>
      </w:hyperlink>
      <w:bookmarkStart w:id="23" w:name="_GoBack"/>
      <w:bookmarkEnd w:id="23"/>
    </w:p>
    <w:p w14:paraId="76B6F01E" w14:textId="72026274" w:rsidR="00EB3DEC" w:rsidRDefault="00EB3DEC">
      <w:pPr>
        <w:pStyle w:val="TableofFigures"/>
        <w:tabs>
          <w:tab w:val="right" w:leader="dot" w:pos="9629"/>
        </w:tabs>
        <w:rPr>
          <w:rFonts w:asciiTheme="minorHAnsi" w:eastAsiaTheme="minorEastAsia" w:hAnsiTheme="minorHAnsi"/>
          <w:b w:val="0"/>
          <w:noProof/>
          <w:lang w:eastAsia="sv-SE"/>
        </w:rPr>
      </w:pPr>
      <w:hyperlink w:anchor="_Toc16872204" w:history="1">
        <w:r w:rsidRPr="00C850FE">
          <w:rPr>
            <w:rStyle w:val="Hyperlink"/>
            <w:noProof/>
            <w:lang w:val="en-US"/>
          </w:rPr>
          <w:t>Proposal 6</w:t>
        </w:r>
        <w:r>
          <w:rPr>
            <w:rFonts w:asciiTheme="minorHAnsi" w:eastAsiaTheme="minorEastAsia" w:hAnsiTheme="minorHAnsi"/>
            <w:b w:val="0"/>
            <w:noProof/>
            <w:lang w:eastAsia="sv-SE"/>
          </w:rPr>
          <w:tab/>
        </w:r>
        <w:r w:rsidRPr="00C850FE">
          <w:rPr>
            <w:rStyle w:val="Hyperlink"/>
            <w:noProof/>
            <w:lang w:val="en-US"/>
          </w:rPr>
          <w:t>For unicast, when RRC configured with a maximum of 2 TBs, the allocated HARQ processes are contiguous and the value for the first HARQ process number is reused.</w:t>
        </w:r>
      </w:hyperlink>
    </w:p>
    <w:p w14:paraId="6326A462" w14:textId="5A89DD7E" w:rsidR="00EB3DEC" w:rsidRDefault="00EB3DEC">
      <w:pPr>
        <w:pStyle w:val="TableofFigures"/>
        <w:tabs>
          <w:tab w:val="right" w:leader="dot" w:pos="9629"/>
        </w:tabs>
        <w:rPr>
          <w:rFonts w:asciiTheme="minorHAnsi" w:eastAsiaTheme="minorEastAsia" w:hAnsiTheme="minorHAnsi"/>
          <w:b w:val="0"/>
          <w:noProof/>
          <w:lang w:eastAsia="sv-SE"/>
        </w:rPr>
      </w:pPr>
      <w:hyperlink w:anchor="_Toc16872205" w:history="1">
        <w:r w:rsidRPr="00C850FE">
          <w:rPr>
            <w:rStyle w:val="Hyperlink"/>
            <w:noProof/>
            <w:lang w:val="en-US"/>
          </w:rPr>
          <w:t>Proposal 7</w:t>
        </w:r>
        <w:r>
          <w:rPr>
            <w:rFonts w:asciiTheme="minorHAnsi" w:eastAsiaTheme="minorEastAsia" w:hAnsiTheme="minorHAnsi"/>
            <w:b w:val="0"/>
            <w:noProof/>
            <w:lang w:eastAsia="sv-SE"/>
          </w:rPr>
          <w:tab/>
        </w:r>
        <w:r w:rsidRPr="00C850FE">
          <w:rPr>
            <w:rStyle w:val="Hyperlink"/>
            <w:noProof/>
            <w:lang w:val="en-US"/>
          </w:rPr>
          <w:t>For unicast, when RRC configured with a maximum of 2 TBs, the single RV field in the DCI is used for all allocated HARQ processes.</w:t>
        </w:r>
      </w:hyperlink>
    </w:p>
    <w:p w14:paraId="5C7D3C9C" w14:textId="6E6A1A78" w:rsidR="00EB3DEC" w:rsidRDefault="00EB3DEC">
      <w:pPr>
        <w:pStyle w:val="TableofFigures"/>
        <w:tabs>
          <w:tab w:val="right" w:leader="dot" w:pos="9629"/>
        </w:tabs>
        <w:rPr>
          <w:rFonts w:asciiTheme="minorHAnsi" w:eastAsiaTheme="minorEastAsia" w:hAnsiTheme="minorHAnsi"/>
          <w:b w:val="0"/>
          <w:noProof/>
          <w:lang w:eastAsia="sv-SE"/>
        </w:rPr>
      </w:pPr>
      <w:hyperlink w:anchor="_Toc16872206" w:history="1">
        <w:r w:rsidRPr="00C850FE">
          <w:rPr>
            <w:rStyle w:val="Hyperlink"/>
            <w:noProof/>
            <w:lang w:val="en-US"/>
          </w:rPr>
          <w:t>Proposal 8</w:t>
        </w:r>
        <w:r>
          <w:rPr>
            <w:rFonts w:asciiTheme="minorHAnsi" w:eastAsiaTheme="minorEastAsia" w:hAnsiTheme="minorHAnsi"/>
            <w:b w:val="0"/>
            <w:noProof/>
            <w:lang w:eastAsia="sv-SE"/>
          </w:rPr>
          <w:tab/>
        </w:r>
        <w:r w:rsidRPr="00C850FE">
          <w:rPr>
            <w:rStyle w:val="Hyperlink"/>
            <w:noProof/>
            <w:lang w:val="en-US"/>
          </w:rPr>
          <w:t>For unicast, when RRC configured with a maximum of 4 or 8 TBs, the indication of allocated HARQ processes and RV for the respective HARQ process is further studied.</w:t>
        </w:r>
      </w:hyperlink>
    </w:p>
    <w:p w14:paraId="4B8B13EC" w14:textId="7A490733" w:rsidR="00EB3DEC" w:rsidRDefault="00EB3DEC">
      <w:pPr>
        <w:pStyle w:val="TableofFigures"/>
        <w:tabs>
          <w:tab w:val="right" w:leader="dot" w:pos="9629"/>
        </w:tabs>
        <w:rPr>
          <w:rFonts w:asciiTheme="minorHAnsi" w:eastAsiaTheme="minorEastAsia" w:hAnsiTheme="minorHAnsi"/>
          <w:b w:val="0"/>
          <w:noProof/>
          <w:lang w:eastAsia="sv-SE"/>
        </w:rPr>
      </w:pPr>
      <w:hyperlink w:anchor="_Toc16872207" w:history="1">
        <w:r w:rsidRPr="00C850FE">
          <w:rPr>
            <w:rStyle w:val="Hyperlink"/>
            <w:rFonts w:cs="Arial"/>
            <w:noProof/>
            <w:lang w:val="en-US"/>
          </w:rPr>
          <w:t>Proposal 9</w:t>
        </w:r>
        <w:r>
          <w:rPr>
            <w:rFonts w:asciiTheme="minorHAnsi" w:eastAsiaTheme="minorEastAsia" w:hAnsiTheme="minorHAnsi"/>
            <w:b w:val="0"/>
            <w:noProof/>
            <w:lang w:eastAsia="sv-SE"/>
          </w:rPr>
          <w:tab/>
        </w:r>
        <w:r w:rsidRPr="00C850FE">
          <w:rPr>
            <w:rStyle w:val="Hyperlink"/>
            <w:rFonts w:cs="Arial"/>
            <w:noProof/>
            <w:lang w:val="en-US" w:eastAsia="zh-CN"/>
          </w:rPr>
          <w:t>For SC-MTCH, the DCI field indicating the number of scheduled TBs</w:t>
        </w:r>
        <w:r w:rsidRPr="00C850FE">
          <w:rPr>
            <w:rStyle w:val="Hyperlink"/>
            <w:rFonts w:cs="Arial"/>
            <w:noProof/>
            <w:lang w:val="en-US"/>
          </w:rPr>
          <w:t xml:space="preserve"> is of size 3 bits, indicating the number of scheduled SC-MTCH segments in the range {1-8}.</w:t>
        </w:r>
      </w:hyperlink>
    </w:p>
    <w:p w14:paraId="5992B6E9" w14:textId="5BB38720" w:rsidR="00C01F33" w:rsidRPr="0042395E" w:rsidRDefault="006E1C82" w:rsidP="004C27DD">
      <w:pPr>
        <w:pStyle w:val="BodyText"/>
        <w:jc w:val="left"/>
        <w:rPr>
          <w:b/>
          <w:bCs/>
          <w:lang w:val="en-US"/>
        </w:rPr>
      </w:pPr>
      <w:r w:rsidRPr="0042395E">
        <w:rPr>
          <w:b/>
          <w:bCs/>
          <w:lang w:val="en-US"/>
        </w:rPr>
        <w:fldChar w:fldCharType="end"/>
      </w:r>
    </w:p>
    <w:p w14:paraId="6C7FE4CE" w14:textId="77777777" w:rsidR="00F507D1" w:rsidRPr="0042395E" w:rsidRDefault="00F507D1" w:rsidP="004C27DD">
      <w:pPr>
        <w:pStyle w:val="Heading1"/>
        <w:rPr>
          <w:lang w:val="en-US"/>
        </w:rPr>
      </w:pPr>
      <w:bookmarkStart w:id="24" w:name="_In-sequence_SDU_delivery"/>
      <w:bookmarkEnd w:id="24"/>
      <w:r w:rsidRPr="0042395E">
        <w:rPr>
          <w:lang w:val="en-US"/>
        </w:rPr>
        <w:t>References</w:t>
      </w:r>
    </w:p>
    <w:p w14:paraId="28F69976" w14:textId="4557BD25" w:rsidR="0030711E" w:rsidRPr="0042395E" w:rsidRDefault="00B243BD" w:rsidP="004C27DD">
      <w:pPr>
        <w:pStyle w:val="Reference"/>
        <w:jc w:val="left"/>
        <w:rPr>
          <w:lang w:val="en-US"/>
        </w:rPr>
      </w:pPr>
      <w:bookmarkStart w:id="25" w:name="_Ref521421708"/>
      <w:bookmarkStart w:id="26" w:name="_Ref174151459"/>
      <w:bookmarkStart w:id="27" w:name="_Ref189809556"/>
      <w:r w:rsidRPr="0042395E">
        <w:rPr>
          <w:lang w:val="en-US"/>
        </w:rPr>
        <w:t>RP-191356</w:t>
      </w:r>
      <w:r w:rsidR="00776C43" w:rsidRPr="0042395E">
        <w:rPr>
          <w:lang w:val="en-US"/>
        </w:rPr>
        <w:t xml:space="preserve">, “Revised WID: Additional MTC enhancements for LTE”, </w:t>
      </w:r>
      <w:bookmarkEnd w:id="25"/>
      <w:r w:rsidR="00401B01" w:rsidRPr="0042395E">
        <w:rPr>
          <w:lang w:val="en-US"/>
        </w:rPr>
        <w:t>RAN#8</w:t>
      </w:r>
      <w:r w:rsidR="00DE2BF3" w:rsidRPr="0042395E">
        <w:rPr>
          <w:lang w:val="en-US"/>
        </w:rPr>
        <w:t>4</w:t>
      </w:r>
      <w:r w:rsidR="00401B01" w:rsidRPr="0042395E">
        <w:rPr>
          <w:lang w:val="en-US"/>
        </w:rPr>
        <w:t xml:space="preserve">, </w:t>
      </w:r>
      <w:r w:rsidR="00C445A8" w:rsidRPr="0042395E">
        <w:rPr>
          <w:lang w:val="en-US"/>
        </w:rPr>
        <w:t>Newport Beach, USA, June 3 – 6 2019</w:t>
      </w:r>
    </w:p>
    <w:p w14:paraId="5B96ABD9" w14:textId="2D22CB27" w:rsidR="00577E23" w:rsidRPr="0042395E" w:rsidRDefault="005F5EFA" w:rsidP="004C27DD">
      <w:pPr>
        <w:pStyle w:val="Reference"/>
        <w:jc w:val="left"/>
        <w:rPr>
          <w:lang w:val="en-US"/>
        </w:rPr>
      </w:pPr>
      <w:bookmarkStart w:id="28" w:name="_Ref7449360"/>
      <w:r w:rsidRPr="0042395E">
        <w:rPr>
          <w:lang w:val="en-US"/>
        </w:rPr>
        <w:t>R1-1907630</w:t>
      </w:r>
      <w:r w:rsidR="003503EA" w:rsidRPr="0042395E">
        <w:rPr>
          <w:lang w:val="en-US"/>
        </w:rPr>
        <w:t xml:space="preserve">, </w:t>
      </w:r>
      <w:r w:rsidR="0042395E">
        <w:rPr>
          <w:lang w:val="en-US"/>
        </w:rPr>
        <w:t>“</w:t>
      </w:r>
      <w:r w:rsidR="00030006" w:rsidRPr="0042395E">
        <w:rPr>
          <w:lang w:val="en-US"/>
        </w:rPr>
        <w:t>RAN1 agreements for Rel-16 Additional MTC Enhancements for LTE</w:t>
      </w:r>
      <w:r w:rsidR="0042395E">
        <w:rPr>
          <w:lang w:val="en-US"/>
        </w:rPr>
        <w:t>”</w:t>
      </w:r>
      <w:r w:rsidR="00030006" w:rsidRPr="0042395E">
        <w:rPr>
          <w:lang w:val="en-US"/>
        </w:rPr>
        <w:t xml:space="preserve">, </w:t>
      </w:r>
      <w:bookmarkEnd w:id="28"/>
      <w:r w:rsidR="00DE2BF3" w:rsidRPr="0042395E">
        <w:rPr>
          <w:lang w:val="en-US"/>
        </w:rPr>
        <w:t>RAN1</w:t>
      </w:r>
      <w:r w:rsidR="00454E4E" w:rsidRPr="0042395E">
        <w:rPr>
          <w:lang w:val="en-US"/>
        </w:rPr>
        <w:t xml:space="preserve">#97, </w:t>
      </w:r>
      <w:r w:rsidR="00736AF0" w:rsidRPr="0042395E">
        <w:rPr>
          <w:lang w:val="en-US"/>
        </w:rPr>
        <w:t>Reno, USA, May 13 – 17 2019</w:t>
      </w:r>
    </w:p>
    <w:p w14:paraId="602898F8" w14:textId="23152CD2" w:rsidR="00A40FE1" w:rsidRPr="0042395E" w:rsidRDefault="001C197B" w:rsidP="004C27DD">
      <w:pPr>
        <w:pStyle w:val="Reference"/>
        <w:jc w:val="left"/>
        <w:rPr>
          <w:lang w:val="en-US"/>
        </w:rPr>
      </w:pPr>
      <w:bookmarkStart w:id="29" w:name="_Ref525895303"/>
      <w:bookmarkStart w:id="30" w:name="_Ref7508594"/>
      <w:r w:rsidRPr="0042395E">
        <w:rPr>
          <w:lang w:val="en-US"/>
        </w:rPr>
        <w:t>R1-1907617</w:t>
      </w:r>
      <w:r w:rsidR="00AA059F" w:rsidRPr="0042395E">
        <w:rPr>
          <w:lang w:val="en-US"/>
        </w:rPr>
        <w:t xml:space="preserve">, </w:t>
      </w:r>
      <w:r w:rsidR="0042395E">
        <w:rPr>
          <w:lang w:val="en-US"/>
        </w:rPr>
        <w:t>“</w:t>
      </w:r>
      <w:r w:rsidR="003E1D53" w:rsidRPr="0042395E">
        <w:rPr>
          <w:lang w:val="en-US"/>
        </w:rPr>
        <w:t>Updated feature lead summary for Scheduling of multiple DL/UL transport blocks for LTE-MTC</w:t>
      </w:r>
      <w:r w:rsidR="0042395E">
        <w:rPr>
          <w:lang w:val="en-US"/>
        </w:rPr>
        <w:t>”</w:t>
      </w:r>
      <w:r w:rsidR="003E1D53" w:rsidRPr="0042395E">
        <w:rPr>
          <w:lang w:val="en-US"/>
        </w:rPr>
        <w:t>, Ericsson</w:t>
      </w:r>
      <w:r w:rsidR="00A40FE1" w:rsidRPr="0042395E">
        <w:rPr>
          <w:lang w:val="en-US"/>
        </w:rPr>
        <w:t>, RAN1#9</w:t>
      </w:r>
      <w:r w:rsidR="003E1D53" w:rsidRPr="0042395E">
        <w:rPr>
          <w:lang w:val="en-US"/>
        </w:rPr>
        <w:t>7</w:t>
      </w:r>
      <w:r w:rsidR="00A40FE1" w:rsidRPr="0042395E">
        <w:rPr>
          <w:lang w:val="en-US"/>
        </w:rPr>
        <w:t>,</w:t>
      </w:r>
      <w:bookmarkEnd w:id="29"/>
      <w:r w:rsidR="00A40FE1" w:rsidRPr="0042395E">
        <w:rPr>
          <w:lang w:val="en-US"/>
        </w:rPr>
        <w:t xml:space="preserve"> </w:t>
      </w:r>
      <w:bookmarkEnd w:id="30"/>
      <w:r w:rsidR="00BF4588" w:rsidRPr="0042395E">
        <w:rPr>
          <w:lang w:val="en-US"/>
        </w:rPr>
        <w:t>Reno, USA, May 13 – 17 2019</w:t>
      </w:r>
    </w:p>
    <w:p w14:paraId="75369DA3" w14:textId="322E4EEB" w:rsidR="00485EA0" w:rsidRPr="0042395E" w:rsidRDefault="00485EA0" w:rsidP="00485EA0">
      <w:pPr>
        <w:pStyle w:val="Reference"/>
        <w:rPr>
          <w:lang w:val="en-US"/>
        </w:rPr>
      </w:pPr>
      <w:bookmarkStart w:id="31" w:name="_Ref14081582"/>
      <w:r w:rsidRPr="0042395E">
        <w:rPr>
          <w:lang w:val="en-US"/>
        </w:rPr>
        <w:t xml:space="preserve">R1-1905958, </w:t>
      </w:r>
      <w:r w:rsidR="004B2CB8">
        <w:rPr>
          <w:lang w:val="en-US"/>
        </w:rPr>
        <w:t>“</w:t>
      </w:r>
      <w:r w:rsidRPr="0042395E">
        <w:rPr>
          <w:lang w:val="en-US"/>
        </w:rPr>
        <w:t>Scheduling of multiple DL/UL transport blocks in LTE-MTC</w:t>
      </w:r>
      <w:r w:rsidR="004B2CB8">
        <w:rPr>
          <w:lang w:val="en-US"/>
        </w:rPr>
        <w:t>”</w:t>
      </w:r>
      <w:r w:rsidRPr="0042395E">
        <w:rPr>
          <w:lang w:val="en-US"/>
        </w:rPr>
        <w:t>, Ericsson, RAN1#97, Reno, USA, May 13–17, 2019</w:t>
      </w:r>
      <w:bookmarkEnd w:id="31"/>
    </w:p>
    <w:p w14:paraId="629D5170" w14:textId="77777777" w:rsidR="005A605D" w:rsidRPr="0042395E" w:rsidRDefault="005A605D" w:rsidP="00AC5807">
      <w:pPr>
        <w:rPr>
          <w:noProof/>
          <w:lang w:val="en-US" w:eastAsia="ja-JP"/>
        </w:rPr>
      </w:pPr>
    </w:p>
    <w:bookmarkEnd w:id="26"/>
    <w:bookmarkEnd w:id="27"/>
    <w:p w14:paraId="74725BDF" w14:textId="167319F8" w:rsidR="00E373B2" w:rsidRPr="0042395E" w:rsidRDefault="00C84B11" w:rsidP="00B906BC">
      <w:pPr>
        <w:pStyle w:val="Heading1"/>
        <w:ind w:left="0" w:firstLine="0"/>
        <w:rPr>
          <w:lang w:val="en-US"/>
        </w:rPr>
      </w:pPr>
      <w:r w:rsidRPr="0042395E">
        <w:rPr>
          <w:lang w:val="en-US"/>
        </w:rPr>
        <w:t xml:space="preserve">Appendix </w:t>
      </w:r>
      <w:r w:rsidR="00DB3A10" w:rsidRPr="0042395E">
        <w:rPr>
          <w:lang w:val="en-US"/>
        </w:rPr>
        <w:t>A</w:t>
      </w:r>
      <w:r w:rsidR="00A06492" w:rsidRPr="0042395E">
        <w:rPr>
          <w:lang w:val="en-US"/>
        </w:rPr>
        <w:t>:</w:t>
      </w:r>
      <w:r w:rsidRPr="0042395E">
        <w:rPr>
          <w:lang w:val="en-US"/>
        </w:rPr>
        <w:t xml:space="preserve"> RAN1 agreements</w:t>
      </w:r>
    </w:p>
    <w:p w14:paraId="29B96E20" w14:textId="18932714" w:rsidR="00D43D4E" w:rsidRPr="0042395E" w:rsidRDefault="00D43D4E" w:rsidP="00D43D4E">
      <w:pPr>
        <w:rPr>
          <w:rFonts w:ascii="Arial" w:hAnsi="Arial" w:cs="Arial"/>
          <w:lang w:val="en-US"/>
        </w:rPr>
      </w:pPr>
      <w:r w:rsidRPr="0042395E">
        <w:rPr>
          <w:rFonts w:ascii="Arial" w:hAnsi="Arial" w:cs="Arial"/>
          <w:lang w:val="en-US"/>
        </w:rPr>
        <w:t>In RAN1#97, the following agreements were made:</w:t>
      </w:r>
    </w:p>
    <w:p w14:paraId="2E665E65" w14:textId="77777777" w:rsidR="00CA5DAB" w:rsidRPr="0042395E" w:rsidRDefault="00CA5DAB" w:rsidP="00CA5DAB">
      <w:pPr>
        <w:spacing w:after="0" w:line="240" w:lineRule="auto"/>
        <w:ind w:left="567"/>
        <w:rPr>
          <w:rFonts w:ascii="Times New Roman" w:eastAsia="Batang" w:hAnsi="Times New Roman" w:cs="Times New Roman"/>
          <w:b/>
          <w:i/>
          <w:color w:val="44546A" w:themeColor="text2"/>
          <w:lang w:val="en-US"/>
        </w:rPr>
      </w:pPr>
      <w:r w:rsidRPr="0042395E">
        <w:rPr>
          <w:rFonts w:ascii="Times New Roman" w:eastAsia="Batang" w:hAnsi="Times New Roman" w:cs="Times New Roman"/>
          <w:b/>
          <w:i/>
          <w:color w:val="44546A" w:themeColor="text2"/>
          <w:lang w:val="en-US"/>
        </w:rPr>
        <w:t>Working Assumption</w:t>
      </w:r>
    </w:p>
    <w:p w14:paraId="278902F7" w14:textId="77777777" w:rsidR="00D43D4E" w:rsidRPr="0042395E" w:rsidRDefault="00CA5DAB" w:rsidP="00D43D4E">
      <w:pPr>
        <w:pStyle w:val="ListParagraph"/>
        <w:numPr>
          <w:ilvl w:val="0"/>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unicast, scheduling of initial and retransmission TB(s) within one DCI is supported.</w:t>
      </w:r>
    </w:p>
    <w:p w14:paraId="345542BA" w14:textId="77777777" w:rsidR="00D43D4E" w:rsidRPr="0042395E" w:rsidRDefault="00CA5DAB" w:rsidP="00D43D4E">
      <w:pPr>
        <w:pStyle w:val="ListParagraph"/>
        <w:numPr>
          <w:ilvl w:val="0"/>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Till the RAN1#98 meeting, consider potential simplifications that can help achieve a tradeoff between scheduling flexibility and DCI size. For example:</w:t>
      </w:r>
    </w:p>
    <w:p w14:paraId="68CEEEE1" w14:textId="77777777" w:rsidR="00D43D4E"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 xml:space="preserve">Configurable maximum number of TBs per grant </w:t>
      </w:r>
    </w:p>
    <w:p w14:paraId="79EF394D" w14:textId="77777777" w:rsidR="00D43D4E"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 xml:space="preserve">Maximum size of DCI </w:t>
      </w:r>
    </w:p>
    <w:p w14:paraId="152AC6C7" w14:textId="77777777" w:rsidR="00D43D4E"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Joint coding of DCI fields</w:t>
      </w:r>
    </w:p>
    <w:p w14:paraId="0288E3D0" w14:textId="77777777" w:rsidR="00D43D4E"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Reduced TBS choices</w:t>
      </w:r>
    </w:p>
    <w:p w14:paraId="16F00BF9" w14:textId="77777777" w:rsidR="00D43D4E"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Reduced resource allocation choices</w:t>
      </w:r>
    </w:p>
    <w:p w14:paraId="5C6581A5" w14:textId="5E059348" w:rsidR="00CA5DAB" w:rsidRPr="0042395E" w:rsidRDefault="00CA5DAB" w:rsidP="00D43D4E">
      <w:pPr>
        <w:pStyle w:val="ListParagraph"/>
        <w:numPr>
          <w:ilvl w:val="1"/>
          <w:numId w:val="20"/>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Reduced/eliminated RV field</w:t>
      </w:r>
    </w:p>
    <w:p w14:paraId="3D2B7294" w14:textId="77777777"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p>
    <w:p w14:paraId="46D77739" w14:textId="77777777" w:rsidR="00CA5DAB" w:rsidRPr="0042395E" w:rsidRDefault="00CA5DAB" w:rsidP="00CA5DAB">
      <w:pPr>
        <w:spacing w:after="0" w:line="240" w:lineRule="auto"/>
        <w:ind w:left="567"/>
        <w:rPr>
          <w:rFonts w:ascii="Times New Roman" w:eastAsia="Batang" w:hAnsi="Times New Roman" w:cs="Times New Roman"/>
          <w:b/>
          <w:i/>
          <w:color w:val="44546A" w:themeColor="text2"/>
          <w:lang w:val="en-US"/>
        </w:rPr>
      </w:pPr>
      <w:r w:rsidRPr="0042395E">
        <w:rPr>
          <w:rFonts w:ascii="Times New Roman" w:eastAsia="Batang" w:hAnsi="Times New Roman" w:cs="Times New Roman"/>
          <w:b/>
          <w:i/>
          <w:color w:val="44546A" w:themeColor="text2"/>
          <w:lang w:val="en-US"/>
        </w:rPr>
        <w:t>Working Assumption</w:t>
      </w:r>
    </w:p>
    <w:p w14:paraId="5305AF48" w14:textId="77777777"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unicast, scheduling gaps for multiple transport blocks is supported and a scheduling gap can be configured by [RRC and/or DCI]</w:t>
      </w:r>
    </w:p>
    <w:p w14:paraId="5B67E622" w14:textId="77777777" w:rsidR="00D43D4E" w:rsidRPr="0042395E" w:rsidRDefault="00CA5DAB" w:rsidP="00D43D4E">
      <w:pPr>
        <w:pStyle w:val="ListParagraph"/>
        <w:numPr>
          <w:ilvl w:val="0"/>
          <w:numId w:val="21"/>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The support of scheduling gaps is UE optional feature regardless of the support of multiple TBs</w:t>
      </w:r>
    </w:p>
    <w:p w14:paraId="67400AD5" w14:textId="31A67F21" w:rsidR="00CA5DAB" w:rsidRPr="0042395E" w:rsidRDefault="00CA5DAB" w:rsidP="00D43D4E">
      <w:pPr>
        <w:pStyle w:val="ListParagraph"/>
        <w:numPr>
          <w:ilvl w:val="0"/>
          <w:numId w:val="21"/>
        </w:numPr>
        <w:spacing w:line="240" w:lineRule="auto"/>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FFS: Details on the scheduling gap such as duration, applicability, etc.</w:t>
      </w:r>
    </w:p>
    <w:p w14:paraId="1EEC83EB" w14:textId="77777777"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p>
    <w:p w14:paraId="728D8F7B" w14:textId="77777777" w:rsidR="00CA5DAB" w:rsidRPr="0042395E" w:rsidRDefault="00CA5DAB" w:rsidP="00CA5DAB">
      <w:pPr>
        <w:spacing w:after="0" w:line="240" w:lineRule="auto"/>
        <w:ind w:left="567"/>
        <w:rPr>
          <w:rFonts w:ascii="Times New Roman" w:eastAsia="Batang" w:hAnsi="Times New Roman" w:cs="Times New Roman"/>
          <w:b/>
          <w:i/>
          <w:color w:val="44546A" w:themeColor="text2"/>
          <w:lang w:val="en-US"/>
        </w:rPr>
      </w:pPr>
      <w:r w:rsidRPr="0042395E">
        <w:rPr>
          <w:rFonts w:ascii="Times New Roman" w:eastAsia="Batang" w:hAnsi="Times New Roman" w:cs="Times New Roman"/>
          <w:b/>
          <w:i/>
          <w:color w:val="44546A" w:themeColor="text2"/>
          <w:highlight w:val="green"/>
          <w:lang w:val="en-US"/>
        </w:rPr>
        <w:t>Agreement</w:t>
      </w:r>
    </w:p>
    <w:p w14:paraId="3BC65BF8" w14:textId="77777777"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lastRenderedPageBreak/>
        <w:t>For scheduling of multiple TBs with SC-MTCH, scheduling gaps are supported.</w:t>
      </w:r>
    </w:p>
    <w:p w14:paraId="43C2FD5B" w14:textId="77777777"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p>
    <w:p w14:paraId="2A7E51BE" w14:textId="77777777" w:rsidR="00CA5DAB" w:rsidRPr="0042395E" w:rsidRDefault="00CA5DAB" w:rsidP="00CA5DAB">
      <w:pPr>
        <w:spacing w:after="0" w:line="240" w:lineRule="auto"/>
        <w:ind w:left="567"/>
        <w:rPr>
          <w:rFonts w:ascii="Times New Roman" w:eastAsia="Batang" w:hAnsi="Times New Roman" w:cs="Times New Roman"/>
          <w:b/>
          <w:i/>
          <w:color w:val="44546A" w:themeColor="text2"/>
          <w:lang w:val="en-US"/>
        </w:rPr>
      </w:pPr>
      <w:r w:rsidRPr="0042395E">
        <w:rPr>
          <w:rFonts w:ascii="Times New Roman" w:eastAsia="Batang" w:hAnsi="Times New Roman" w:cs="Times New Roman"/>
          <w:b/>
          <w:i/>
          <w:color w:val="44546A" w:themeColor="text2"/>
          <w:highlight w:val="green"/>
          <w:lang w:val="en-US"/>
        </w:rPr>
        <w:t>Agreement</w:t>
      </w:r>
    </w:p>
    <w:p w14:paraId="790B0CBD" w14:textId="4B12BD04" w:rsidR="00CA5DAB" w:rsidRPr="0042395E" w:rsidRDefault="00CA5DAB" w:rsidP="00CA5DAB">
      <w:pPr>
        <w:spacing w:after="0" w:line="240" w:lineRule="auto"/>
        <w:ind w:left="567"/>
        <w:rPr>
          <w:rFonts w:ascii="Times New Roman" w:eastAsia="Batang" w:hAnsi="Times New Roman" w:cs="Times New Roman"/>
          <w:i/>
          <w:color w:val="44546A" w:themeColor="text2"/>
          <w:lang w:val="en-US"/>
        </w:rPr>
      </w:pPr>
      <w:bookmarkStart w:id="32" w:name="_Hlk16680523"/>
      <w:r w:rsidRPr="0042395E">
        <w:rPr>
          <w:rFonts w:ascii="Times New Roman" w:eastAsia="Batang" w:hAnsi="Times New Roman" w:cs="Times New Roman"/>
          <w:i/>
          <w:color w:val="44546A" w:themeColor="text2"/>
          <w:lang w:val="en-US"/>
        </w:rPr>
        <w:t>For scheduling of multiple TBs with SC-MTCH, a DCI field indicates the number of scheduled TBs.</w:t>
      </w:r>
    </w:p>
    <w:bookmarkEnd w:id="32"/>
    <w:p w14:paraId="610CB7C1" w14:textId="3FF255A2" w:rsidR="00CA5DAB" w:rsidRPr="0042395E" w:rsidRDefault="00CA5DAB" w:rsidP="00CA5DAB">
      <w:pPr>
        <w:spacing w:after="0" w:line="240" w:lineRule="auto"/>
        <w:ind w:left="567"/>
        <w:rPr>
          <w:rFonts w:ascii="Times New Roman" w:eastAsia="Batang" w:hAnsi="Times New Roman" w:cs="Times New Roman"/>
          <w:i/>
          <w:lang w:val="en-US"/>
        </w:rPr>
      </w:pPr>
    </w:p>
    <w:p w14:paraId="5BBCDB11" w14:textId="623B64DC" w:rsidR="007C034E" w:rsidRPr="0042395E" w:rsidRDefault="007C034E" w:rsidP="004C27DD">
      <w:pPr>
        <w:rPr>
          <w:rFonts w:ascii="Arial" w:hAnsi="Arial" w:cs="Arial"/>
          <w:lang w:val="en-US"/>
        </w:rPr>
      </w:pPr>
      <w:r w:rsidRPr="0042395E">
        <w:rPr>
          <w:rFonts w:ascii="Arial" w:hAnsi="Arial" w:cs="Arial"/>
          <w:lang w:val="en-US"/>
        </w:rPr>
        <w:t>In RAN1#96bis, the following agreements were made:</w:t>
      </w:r>
    </w:p>
    <w:p w14:paraId="772D105C" w14:textId="77777777" w:rsidR="007C034E" w:rsidRPr="0042395E" w:rsidRDefault="007C034E" w:rsidP="004C27DD">
      <w:pPr>
        <w:tabs>
          <w:tab w:val="left" w:pos="1701"/>
        </w:tabs>
        <w:spacing w:after="0" w:line="240" w:lineRule="auto"/>
        <w:ind w:left="2268" w:hanging="1701"/>
        <w:rPr>
          <w:rFonts w:ascii="Times New Roman" w:eastAsia="Times New Roman" w:hAnsi="Times New Roman" w:cs="Times New Roman"/>
          <w:b/>
          <w:bCs/>
          <w:i/>
          <w:color w:val="44546A" w:themeColor="text2"/>
          <w:lang w:val="en-US" w:eastAsia="zh-CN"/>
        </w:rPr>
      </w:pPr>
      <w:r w:rsidRPr="0042395E">
        <w:rPr>
          <w:rFonts w:ascii="Times New Roman" w:eastAsia="Times New Roman" w:hAnsi="Times New Roman" w:cs="Times New Roman"/>
          <w:b/>
          <w:bCs/>
          <w:i/>
          <w:color w:val="44546A" w:themeColor="text2"/>
          <w:lang w:val="en-US" w:eastAsia="zh-CN"/>
        </w:rPr>
        <w:t>For further discussion</w:t>
      </w:r>
    </w:p>
    <w:p w14:paraId="16D99CED" w14:textId="77777777" w:rsidR="007C034E" w:rsidRPr="0042395E" w:rsidRDefault="007C034E" w:rsidP="004C27DD">
      <w:pPr>
        <w:tabs>
          <w:tab w:val="left" w:pos="1701"/>
        </w:tabs>
        <w:spacing w:after="0" w:line="240" w:lineRule="auto"/>
        <w:ind w:left="567"/>
        <w:rPr>
          <w:rFonts w:ascii="Times New Roman" w:eastAsia="Times New Roman" w:hAnsi="Times New Roman" w:cs="Times New Roman"/>
          <w:bCs/>
          <w:i/>
          <w:color w:val="44546A" w:themeColor="text2"/>
          <w:lang w:val="en-US" w:eastAsia="zh-CN"/>
        </w:rPr>
      </w:pPr>
      <w:r w:rsidRPr="0042395E">
        <w:rPr>
          <w:rFonts w:ascii="Times New Roman" w:eastAsia="Times New Roman" w:hAnsi="Times New Roman" w:cs="Times New Roman"/>
          <w:bCs/>
          <w:i/>
          <w:color w:val="44546A" w:themeColor="text2"/>
          <w:lang w:val="en-US" w:eastAsia="zh-CN"/>
        </w:rPr>
        <w:t xml:space="preserve">Which of the following features that should be possible to configure and/or use in combination with scheduling of multiple </w:t>
      </w:r>
      <w:proofErr w:type="gramStart"/>
      <w:r w:rsidRPr="0042395E">
        <w:rPr>
          <w:rFonts w:ascii="Times New Roman" w:eastAsia="Times New Roman" w:hAnsi="Times New Roman" w:cs="Times New Roman"/>
          <w:bCs/>
          <w:i/>
          <w:color w:val="44546A" w:themeColor="text2"/>
          <w:lang w:val="en-US" w:eastAsia="zh-CN"/>
        </w:rPr>
        <w:t>TBs</w:t>
      </w:r>
      <w:proofErr w:type="gramEnd"/>
    </w:p>
    <w:p w14:paraId="3565DB2F"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 for new numbers of repetitions for PUSCH and modulation restrictions for PDSCH/PUSCH in CE mode A</w:t>
      </w:r>
    </w:p>
    <w:p w14:paraId="1F965E90"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 for 2984 bits max UL TBS in 1.4 MHz in CE mode A</w:t>
      </w:r>
    </w:p>
    <w:p w14:paraId="66B66E89"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 on HARQ-ACK bundling in HD-FDD in CE mode A</w:t>
      </w:r>
    </w:p>
    <w:p w14:paraId="7FBB6EC2"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features for 5 or 20 MHz max PDSCH/PUSCH channel bandwidths in CE mode A/B</w:t>
      </w:r>
    </w:p>
    <w:p w14:paraId="54950562"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 for 10 downlink HARQ processes in FDD in CE mode A</w:t>
      </w:r>
    </w:p>
    <w:p w14:paraId="73FC52A5"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Rel-14 feature for dynamic HARQ-ACK delay for HD-FDD in CE mode A</w:t>
      </w:r>
    </w:p>
    <w:p w14:paraId="31FB802C"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Rel-15 features for flexible starting PRB for PDSCH/PUSCH in CE mode A/B</w:t>
      </w:r>
    </w:p>
    <w:p w14:paraId="1870F81F"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Rel-15 feature for PUSCH sub-PRB allocation in CE mode A/B</w:t>
      </w:r>
    </w:p>
    <w:p w14:paraId="40EB7276"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Rel-15 feature for 64QAM for non-repeated unicast PDSCH in CE mode A</w:t>
      </w:r>
    </w:p>
    <w:p w14:paraId="2392F15C" w14:textId="77777777" w:rsidR="007C034E" w:rsidRPr="0042395E" w:rsidRDefault="007C034E" w:rsidP="00D43D4E">
      <w:pPr>
        <w:numPr>
          <w:ilvl w:val="0"/>
          <w:numId w:val="17"/>
        </w:numPr>
        <w:spacing w:after="0" w:line="240" w:lineRule="auto"/>
        <w:ind w:left="1287"/>
        <w:rPr>
          <w:rFonts w:ascii="Times New Roman" w:eastAsia="Times New Roman" w:hAnsi="Times New Roman" w:cs="Times New Roman"/>
          <w:i/>
          <w:color w:val="44546A" w:themeColor="text2"/>
          <w:lang w:val="en-US"/>
        </w:rPr>
      </w:pPr>
      <w:r w:rsidRPr="0042395E">
        <w:rPr>
          <w:rFonts w:ascii="Times New Roman" w:eastAsia="Times New Roman" w:hAnsi="Times New Roman" w:cs="Times New Roman"/>
          <w:i/>
          <w:color w:val="44546A" w:themeColor="text2"/>
          <w:lang w:val="en-US"/>
        </w:rPr>
        <w:t>Rel-15 feature for uplink HARQ-ACK feedback in DCI in CE mode A/B</w:t>
      </w:r>
    </w:p>
    <w:p w14:paraId="57421DC1"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eastAsia="x-none"/>
        </w:rPr>
        <w:t>Companies are encouraged to provide their preference on this issue.</w:t>
      </w:r>
    </w:p>
    <w:p w14:paraId="1E7C4BF5"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p>
    <w:p w14:paraId="217ABD7D"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rPr>
      </w:pPr>
      <w:r w:rsidRPr="0042395E">
        <w:rPr>
          <w:rFonts w:ascii="Times New Roman" w:eastAsia="Batang" w:hAnsi="Times New Roman" w:cs="Times New Roman"/>
          <w:b/>
          <w:i/>
          <w:color w:val="44546A" w:themeColor="text2"/>
          <w:highlight w:val="green"/>
          <w:lang w:val="en-US"/>
        </w:rPr>
        <w:t>Agreement</w:t>
      </w:r>
    </w:p>
    <w:p w14:paraId="7CC422D2"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unicast, the UE is configured for interleaved transmission of subframe repetitions of the respective TBs separately for DL and UL via RRC signaling.</w:t>
      </w:r>
    </w:p>
    <w:p w14:paraId="0B78DE42"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p>
    <w:p w14:paraId="36F34924"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eastAsia="x-none"/>
        </w:rPr>
      </w:pPr>
      <w:r w:rsidRPr="0042395E">
        <w:rPr>
          <w:rFonts w:ascii="Times New Roman" w:eastAsia="Batang" w:hAnsi="Times New Roman" w:cs="Times New Roman"/>
          <w:b/>
          <w:i/>
          <w:color w:val="44546A" w:themeColor="text2"/>
          <w:highlight w:val="green"/>
          <w:lang w:val="en-US" w:eastAsia="x-none"/>
        </w:rPr>
        <w:t xml:space="preserve">Agreement </w:t>
      </w:r>
    </w:p>
    <w:p w14:paraId="2E49C8A4"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5FA2F7E5" w14:textId="77777777" w:rsidR="007C034E" w:rsidRPr="0042395E" w:rsidRDefault="007C034E" w:rsidP="00D43D4E">
      <w:pPr>
        <w:numPr>
          <w:ilvl w:val="0"/>
          <w:numId w:val="17"/>
        </w:numPr>
        <w:spacing w:after="0" w:line="240" w:lineRule="auto"/>
        <w:ind w:left="128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rPr>
        <w:t>FFS: Maximum bundle size</w:t>
      </w:r>
    </w:p>
    <w:p w14:paraId="0A0CEE80"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p>
    <w:p w14:paraId="2D2663F7"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eastAsia="x-none"/>
        </w:rPr>
      </w:pPr>
      <w:r w:rsidRPr="0042395E">
        <w:rPr>
          <w:rFonts w:ascii="Times New Roman" w:eastAsia="Batang" w:hAnsi="Times New Roman" w:cs="Times New Roman"/>
          <w:b/>
          <w:i/>
          <w:color w:val="44546A" w:themeColor="text2"/>
          <w:highlight w:val="green"/>
          <w:lang w:val="en-US" w:eastAsia="x-none"/>
        </w:rPr>
        <w:t xml:space="preserve">Agreement </w:t>
      </w:r>
    </w:p>
    <w:p w14:paraId="34D5CECD"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096B60AC"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p>
    <w:p w14:paraId="776863EC"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eastAsia="x-none"/>
        </w:rPr>
      </w:pPr>
      <w:r w:rsidRPr="0042395E">
        <w:rPr>
          <w:rFonts w:ascii="Times New Roman" w:eastAsia="Batang" w:hAnsi="Times New Roman" w:cs="Times New Roman"/>
          <w:b/>
          <w:i/>
          <w:color w:val="44546A" w:themeColor="text2"/>
          <w:highlight w:val="green"/>
          <w:lang w:val="en-US" w:eastAsia="x-none"/>
        </w:rPr>
        <w:t xml:space="preserve">Agreement </w:t>
      </w:r>
    </w:p>
    <w:p w14:paraId="7ACE52D6"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rPr>
        <w:t>For scheduling of multiple TBs with SC-MTCH, the same parameter values for {MCS, resource assignment, number of repetitions} is used for all TBs</w:t>
      </w:r>
    </w:p>
    <w:p w14:paraId="584CD08E" w14:textId="77777777" w:rsidR="007C034E" w:rsidRPr="0042395E" w:rsidRDefault="007C034E" w:rsidP="004C27DD">
      <w:pPr>
        <w:rPr>
          <w:rFonts w:ascii="Arial" w:hAnsi="Arial" w:cs="Arial"/>
          <w:lang w:val="en-US"/>
        </w:rPr>
      </w:pPr>
    </w:p>
    <w:p w14:paraId="15E9B852" w14:textId="77777777" w:rsidR="007C034E" w:rsidRPr="0042395E" w:rsidRDefault="007C034E" w:rsidP="004C27DD">
      <w:pPr>
        <w:rPr>
          <w:rFonts w:ascii="Arial" w:hAnsi="Arial" w:cs="Arial"/>
          <w:lang w:val="en-US"/>
        </w:rPr>
      </w:pPr>
      <w:r w:rsidRPr="0042395E">
        <w:rPr>
          <w:rFonts w:ascii="Arial" w:hAnsi="Arial" w:cs="Arial"/>
          <w:lang w:val="en-US"/>
        </w:rPr>
        <w:t>In RAN1#96, the following agreements were made:</w:t>
      </w:r>
    </w:p>
    <w:p w14:paraId="4250E85F"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lang w:val="en-US" w:eastAsia="x-none"/>
        </w:rPr>
      </w:pPr>
      <w:r w:rsidRPr="0042395E">
        <w:rPr>
          <w:rFonts w:ascii="Times New Roman" w:eastAsia="Batang" w:hAnsi="Times New Roman" w:cs="Times New Roman"/>
          <w:b/>
          <w:i/>
          <w:color w:val="44546A" w:themeColor="text2"/>
          <w:lang w:val="en-US" w:eastAsia="x-none"/>
        </w:rPr>
        <w:t>Recommendation for future meetings:</w:t>
      </w:r>
    </w:p>
    <w:p w14:paraId="34EF6266"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The use of scheduling gaps for unicast/multicast is further studied.</w:t>
      </w:r>
    </w:p>
    <w:p w14:paraId="5E9EAD62"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p>
    <w:p w14:paraId="086E69A3"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rPr>
      </w:pPr>
      <w:r w:rsidRPr="0042395E">
        <w:rPr>
          <w:rFonts w:ascii="Times New Roman" w:eastAsia="Batang" w:hAnsi="Times New Roman" w:cs="Times New Roman"/>
          <w:b/>
          <w:i/>
          <w:color w:val="44546A" w:themeColor="text2"/>
          <w:highlight w:val="green"/>
          <w:lang w:val="en-US"/>
        </w:rPr>
        <w:t>Agreement</w:t>
      </w:r>
    </w:p>
    <w:p w14:paraId="0ED74E50"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Support option 3 from below</w:t>
      </w:r>
    </w:p>
    <w:p w14:paraId="74E3FA19"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For the case of single DCI scheduling multiple transport blocks with repetitions, scheduling of transport blocks repetitions is down selected between:</w:t>
      </w:r>
    </w:p>
    <w:p w14:paraId="68FE8345" w14:textId="77777777" w:rsidR="007C034E" w:rsidRPr="0042395E" w:rsidRDefault="007C034E" w:rsidP="00D43D4E">
      <w:pPr>
        <w:numPr>
          <w:ilvl w:val="0"/>
          <w:numId w:val="16"/>
        </w:numPr>
        <w:spacing w:after="0" w:line="240" w:lineRule="auto"/>
        <w:ind w:left="128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eastAsia="x-none"/>
        </w:rPr>
        <w:t>Option 1: All the repetitions for one transport block are contiguously scheduled in valid UL/DL subframes</w:t>
      </w:r>
    </w:p>
    <w:p w14:paraId="06FEE761" w14:textId="77777777" w:rsidR="007C034E" w:rsidRPr="0042395E" w:rsidRDefault="007C034E" w:rsidP="00D43D4E">
      <w:pPr>
        <w:numPr>
          <w:ilvl w:val="0"/>
          <w:numId w:val="16"/>
        </w:numPr>
        <w:spacing w:after="0" w:line="240" w:lineRule="auto"/>
        <w:ind w:left="128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eastAsia="x-none"/>
        </w:rPr>
        <w:t>Option 2: The repetitions for one transport block are interleaved with repetitions of all the other transport blocks</w:t>
      </w:r>
    </w:p>
    <w:p w14:paraId="7BFF2AA2" w14:textId="77777777" w:rsidR="007C034E" w:rsidRPr="0042395E" w:rsidRDefault="007C034E" w:rsidP="00D43D4E">
      <w:pPr>
        <w:numPr>
          <w:ilvl w:val="0"/>
          <w:numId w:val="16"/>
        </w:numPr>
        <w:spacing w:after="0" w:line="240" w:lineRule="auto"/>
        <w:ind w:left="128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eastAsia="x-none"/>
        </w:rPr>
        <w:lastRenderedPageBreak/>
        <w:t>Option 3: Option 1 and 2 are supported and eNB configures among them</w:t>
      </w:r>
    </w:p>
    <w:p w14:paraId="0713841D"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r w:rsidRPr="0042395E">
        <w:rPr>
          <w:rFonts w:ascii="Times New Roman" w:eastAsia="Batang" w:hAnsi="Times New Roman" w:cs="Times New Roman"/>
          <w:i/>
          <w:color w:val="44546A" w:themeColor="text2"/>
          <w:lang w:val="en-US"/>
        </w:rPr>
        <w:t>Above applies for unicast only.</w:t>
      </w:r>
    </w:p>
    <w:p w14:paraId="12BFF85F"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eastAsia="x-none"/>
        </w:rPr>
      </w:pPr>
    </w:p>
    <w:p w14:paraId="69A811F3"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highlight w:val="green"/>
          <w:lang w:val="en-US"/>
        </w:rPr>
      </w:pPr>
      <w:r w:rsidRPr="0042395E">
        <w:rPr>
          <w:rFonts w:ascii="Times New Roman" w:eastAsia="Batang" w:hAnsi="Times New Roman" w:cs="Times New Roman"/>
          <w:b/>
          <w:i/>
          <w:color w:val="44546A" w:themeColor="text2"/>
          <w:highlight w:val="green"/>
          <w:lang w:val="en-US"/>
        </w:rPr>
        <w:t>Agreement</w:t>
      </w:r>
    </w:p>
    <w:p w14:paraId="6FC59561" w14:textId="77777777" w:rsidR="007C034E" w:rsidRPr="0042395E" w:rsidRDefault="007C034E" w:rsidP="004C27DD">
      <w:pPr>
        <w:spacing w:after="0" w:line="240" w:lineRule="auto"/>
        <w:ind w:left="567"/>
        <w:rPr>
          <w:rFonts w:ascii="Times New Roman" w:eastAsia="Batang" w:hAnsi="Times New Roman" w:cs="Times New Roman"/>
          <w:i/>
          <w:color w:val="44546A" w:themeColor="text2"/>
          <w:lang w:val="en-US"/>
        </w:rPr>
      </w:pPr>
      <w:bookmarkStart w:id="33" w:name="_Hlk4158651"/>
      <w:r w:rsidRPr="0042395E">
        <w:rPr>
          <w:rFonts w:ascii="Times New Roman" w:eastAsia="Batang" w:hAnsi="Times New Roman" w:cs="Times New Roman"/>
          <w:i/>
          <w:color w:val="44546A" w:themeColor="text2"/>
          <w:lang w:val="en-US"/>
        </w:rPr>
        <w:t xml:space="preserve">For the </w:t>
      </w:r>
      <w:bookmarkStart w:id="34" w:name="_Hlk4357620"/>
      <w:r w:rsidRPr="0042395E">
        <w:rPr>
          <w:rFonts w:ascii="Times New Roman" w:eastAsia="Batang" w:hAnsi="Times New Roman" w:cs="Times New Roman"/>
          <w:i/>
          <w:color w:val="44546A" w:themeColor="text2"/>
          <w:lang w:val="en-US"/>
        </w:rPr>
        <w:t>DL/UL unicast for a UE, when multiple TBs are scheduled by one DCI,</w:t>
      </w:r>
      <w:bookmarkEnd w:id="34"/>
      <w:r w:rsidRPr="0042395E">
        <w:rPr>
          <w:rFonts w:ascii="Times New Roman" w:eastAsia="Batang" w:hAnsi="Times New Roman" w:cs="Times New Roman"/>
          <w:i/>
          <w:color w:val="44546A" w:themeColor="text2"/>
          <w:lang w:val="en-US"/>
        </w:rPr>
        <w:t xml:space="preserve"> the parameter values for {MCS, Resource assignment, Repetitions} are the same across all the TBs scheduled by that DCI.</w:t>
      </w:r>
    </w:p>
    <w:bookmarkEnd w:id="33"/>
    <w:p w14:paraId="0A009EFB" w14:textId="77777777" w:rsidR="007C034E" w:rsidRPr="0042395E" w:rsidRDefault="007C034E" w:rsidP="00D43D4E">
      <w:pPr>
        <w:numPr>
          <w:ilvl w:val="0"/>
          <w:numId w:val="16"/>
        </w:numPr>
        <w:spacing w:after="0" w:line="240" w:lineRule="auto"/>
        <w:ind w:left="1287"/>
        <w:rPr>
          <w:rFonts w:ascii="Times New Roman" w:eastAsia="Batang" w:hAnsi="Times New Roman" w:cs="Times New Roman"/>
          <w:i/>
          <w:color w:val="44546A" w:themeColor="text2"/>
          <w:lang w:val="en-US" w:eastAsia="x-none"/>
        </w:rPr>
      </w:pPr>
      <w:r w:rsidRPr="0042395E">
        <w:rPr>
          <w:rFonts w:ascii="Times New Roman" w:eastAsia="Batang" w:hAnsi="Times New Roman" w:cs="Times New Roman"/>
          <w:i/>
          <w:color w:val="44546A" w:themeColor="text2"/>
          <w:lang w:val="en-US" w:eastAsia="x-none"/>
        </w:rPr>
        <w:t>If specified, in the case where one DCI schedules TB for both initial and retransmission, the above applies for TBs for both initial and retransmission</w:t>
      </w:r>
    </w:p>
    <w:p w14:paraId="54DFB6A9" w14:textId="77777777" w:rsidR="007C034E" w:rsidRPr="0042395E" w:rsidRDefault="007C034E" w:rsidP="004C27DD">
      <w:pPr>
        <w:rPr>
          <w:rFonts w:ascii="Arial" w:hAnsi="Arial" w:cs="Arial"/>
          <w:lang w:val="en-US"/>
        </w:rPr>
      </w:pPr>
    </w:p>
    <w:p w14:paraId="256F4311" w14:textId="77777777" w:rsidR="007C034E" w:rsidRPr="0042395E" w:rsidRDefault="007C034E" w:rsidP="004C27DD">
      <w:pPr>
        <w:rPr>
          <w:rFonts w:ascii="Arial" w:hAnsi="Arial" w:cs="Arial"/>
          <w:lang w:val="en-US"/>
        </w:rPr>
      </w:pPr>
      <w:r w:rsidRPr="0042395E">
        <w:rPr>
          <w:rFonts w:ascii="Arial" w:hAnsi="Arial" w:cs="Arial"/>
          <w:lang w:val="en-US"/>
        </w:rPr>
        <w:t>In RAN1#95, the following agreements were made:</w:t>
      </w:r>
    </w:p>
    <w:p w14:paraId="386CBC91"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3E8AD4E7"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CEmodeA, the maximum number of scheduled transport blocks with one single DCI is 8 in the UL, 8 in the DL</w:t>
      </w:r>
    </w:p>
    <w:p w14:paraId="6F166DAB"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4A7A2B76"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4BE22EE6"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The following working assumption is confirmed</w:t>
      </w:r>
    </w:p>
    <w:p w14:paraId="3F2E1003"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CEmodeB, the maximum number of scheduled transport blocks with one single DCI is 4 in the UL, 4 in the DL</w:t>
      </w:r>
    </w:p>
    <w:p w14:paraId="6529107D"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736A7D99"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57614FE4"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 xml:space="preserve">For both UL and DL unicast, at least consecutive resource allocation in time is supported when multiple TBs are scheduled by one single DCI. </w:t>
      </w:r>
    </w:p>
    <w:p w14:paraId="4B42BAAA"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Above applies only for valid subframes within the consecutive resource allocation in time</w:t>
      </w:r>
    </w:p>
    <w:p w14:paraId="59FFE79E"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FFS: Whether time gaps between two TBs is also supported</w:t>
      </w:r>
    </w:p>
    <w:p w14:paraId="49658CC3"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lang w:val="en-US" w:eastAsia="x-none"/>
        </w:rPr>
      </w:pPr>
    </w:p>
    <w:p w14:paraId="57D5F20D"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lang w:val="en-US" w:eastAsia="x-none"/>
        </w:rPr>
      </w:pPr>
      <w:r w:rsidRPr="0042395E">
        <w:rPr>
          <w:rFonts w:ascii="Times New Roman" w:eastAsia="Batang" w:hAnsi="Times New Roman" w:cs="Times New Roman"/>
          <w:b/>
          <w:i/>
          <w:color w:val="44546A" w:themeColor="text2"/>
          <w:szCs w:val="20"/>
          <w:lang w:val="en-US" w:eastAsia="x-none"/>
        </w:rPr>
        <w:t>For future meetings in Rel-16 eMTC:</w:t>
      </w:r>
    </w:p>
    <w:p w14:paraId="45B3B510"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Further consider which Rel-14/15 features that should be possible to configure together with scheduling of multiple DL-UL transport blocks.</w:t>
      </w:r>
    </w:p>
    <w:p w14:paraId="1A360693"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p>
    <w:p w14:paraId="25A6EE20"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100A085C"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the DL unicast for a UE, when multiple TBs are scheduled by one DCI, the following parameter values are the same across all the TBs:</w:t>
      </w:r>
    </w:p>
    <w:p w14:paraId="6BEF76E1"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Frequency-hopping flag, PMI confirmation (TM6-specific), Precoding information (TM6-specific), DM-RS scrambling / antenna ports (TM9-specific), Downlink assignment index (TDD-specific), PUCCH power control</w:t>
      </w:r>
    </w:p>
    <w:p w14:paraId="5CB07E30"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FFS: MCS, RV, Resource assignment, Number of PDSCH repetitions</w:t>
      </w:r>
    </w:p>
    <w:p w14:paraId="79E5D95E"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lang w:val="en-US" w:eastAsia="x-none"/>
        </w:rPr>
      </w:pPr>
    </w:p>
    <w:p w14:paraId="01D0D480"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4374F4F6"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the UL unicast, when multiple TBs are scheduled by one DCI, the following parameter values are the same across all the TBs:</w:t>
      </w:r>
    </w:p>
    <w:p w14:paraId="78E65FA0"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Frequency-hopping flag, TPC command</w:t>
      </w:r>
    </w:p>
    <w:p w14:paraId="38EF814D"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w:t>
      </w:r>
      <w:r w:rsidRPr="0042395E">
        <w:rPr>
          <w:rFonts w:ascii="Times New Roman" w:eastAsia="Batang" w:hAnsi="Times New Roman" w:cs="Times New Roman"/>
          <w:i/>
          <w:color w:val="44546A" w:themeColor="text2"/>
          <w:szCs w:val="20"/>
          <w:lang w:val="en-US" w:eastAsia="x-none"/>
        </w:rPr>
        <w:tab/>
        <w:t>FFS: MCS, RV, Resource assignment, Repetition number, Downlink assignment index (TDD-specific)</w:t>
      </w:r>
    </w:p>
    <w:p w14:paraId="57402A55"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lang w:val="en-US" w:eastAsia="x-none"/>
        </w:rPr>
      </w:pPr>
    </w:p>
    <w:p w14:paraId="53A4E408"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lang w:val="en-US" w:eastAsia="x-none"/>
        </w:rPr>
      </w:pPr>
      <w:r w:rsidRPr="0042395E">
        <w:rPr>
          <w:rFonts w:ascii="Times New Roman" w:eastAsia="Batang" w:hAnsi="Times New Roman" w:cs="Times New Roman"/>
          <w:b/>
          <w:i/>
          <w:color w:val="44546A" w:themeColor="text2"/>
          <w:szCs w:val="20"/>
          <w:lang w:val="en-US" w:eastAsia="x-none"/>
        </w:rPr>
        <w:t>For next meeting</w:t>
      </w:r>
    </w:p>
    <w:p w14:paraId="77CCE8FC"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unicast when multi-TBs are scheduled, companies are encouraged to bring in DCI designs which can support</w:t>
      </w:r>
    </w:p>
    <w:p w14:paraId="0B1302D6"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1.</w:t>
      </w:r>
      <w:r w:rsidRPr="0042395E">
        <w:rPr>
          <w:rFonts w:ascii="Times New Roman" w:eastAsia="Batang" w:hAnsi="Times New Roman" w:cs="Times New Roman"/>
          <w:i/>
          <w:color w:val="44546A" w:themeColor="text2"/>
          <w:szCs w:val="20"/>
          <w:lang w:val="en-US" w:eastAsia="x-none"/>
        </w:rPr>
        <w:tab/>
        <w:t>scheduling of initial and retransmission TBs within one DCI</w:t>
      </w:r>
    </w:p>
    <w:p w14:paraId="736085CF"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2.</w:t>
      </w:r>
      <w:r w:rsidRPr="0042395E">
        <w:rPr>
          <w:rFonts w:ascii="Times New Roman" w:eastAsia="Batang" w:hAnsi="Times New Roman" w:cs="Times New Roman"/>
          <w:i/>
          <w:color w:val="44546A" w:themeColor="text2"/>
          <w:szCs w:val="20"/>
          <w:lang w:val="en-US" w:eastAsia="x-none"/>
        </w:rPr>
        <w:tab/>
        <w:t>scheduling of initial TBs within one DCI, and retransmissions with one DCI</w:t>
      </w:r>
    </w:p>
    <w:p w14:paraId="58FA4DA2"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3.</w:t>
      </w:r>
      <w:r w:rsidRPr="0042395E">
        <w:rPr>
          <w:rFonts w:ascii="Times New Roman" w:eastAsia="Batang" w:hAnsi="Times New Roman" w:cs="Times New Roman"/>
          <w:i/>
          <w:color w:val="44546A" w:themeColor="text2"/>
          <w:szCs w:val="20"/>
          <w:lang w:val="en-US" w:eastAsia="x-none"/>
        </w:rPr>
        <w:tab/>
      </w:r>
      <w:bookmarkStart w:id="35" w:name="_Hlk884881"/>
      <w:r w:rsidRPr="0042395E">
        <w:rPr>
          <w:rFonts w:ascii="Times New Roman" w:eastAsia="Batang" w:hAnsi="Times New Roman" w:cs="Times New Roman"/>
          <w:i/>
          <w:color w:val="44546A" w:themeColor="text2"/>
          <w:szCs w:val="20"/>
          <w:lang w:val="en-US" w:eastAsia="x-none"/>
        </w:rPr>
        <w:t>scheduling of initial TBs within one DCI, and retransmission can only be scheduled by individual DCI</w:t>
      </w:r>
      <w:bookmarkEnd w:id="35"/>
    </w:p>
    <w:p w14:paraId="15812E60"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 xml:space="preserve">RAN1 tries to </w:t>
      </w:r>
      <w:proofErr w:type="gramStart"/>
      <w:r w:rsidRPr="0042395E">
        <w:rPr>
          <w:rFonts w:ascii="Times New Roman" w:eastAsia="Batang" w:hAnsi="Times New Roman" w:cs="Times New Roman"/>
          <w:i/>
          <w:color w:val="44546A" w:themeColor="text2"/>
          <w:szCs w:val="20"/>
          <w:lang w:val="en-US" w:eastAsia="x-none"/>
        </w:rPr>
        <w:t>make a decision</w:t>
      </w:r>
      <w:proofErr w:type="gramEnd"/>
      <w:r w:rsidRPr="0042395E">
        <w:rPr>
          <w:rFonts w:ascii="Times New Roman" w:eastAsia="Batang" w:hAnsi="Times New Roman" w:cs="Times New Roman"/>
          <w:i/>
          <w:color w:val="44546A" w:themeColor="text2"/>
          <w:szCs w:val="20"/>
          <w:lang w:val="en-US" w:eastAsia="x-none"/>
        </w:rPr>
        <w:t xml:space="preserve"> on which case is specified in the next meeting based on the trade-off between DCI overhead and scheduling flexibility comparisons of the three cases.</w:t>
      </w:r>
    </w:p>
    <w:p w14:paraId="17DCC948"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p>
    <w:p w14:paraId="0C228FAC"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24EE7C06"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lastRenderedPageBreak/>
        <w:t>For the case of single DCI scheduling multiple transport blocks with repetitions, scheduling of transport blocks repetitions is down selected between:</w:t>
      </w:r>
    </w:p>
    <w:p w14:paraId="6C18B10B"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bookmarkStart w:id="36" w:name="_Hlk882206"/>
      <w:r w:rsidRPr="0042395E">
        <w:rPr>
          <w:rFonts w:ascii="Times New Roman" w:eastAsia="Batang" w:hAnsi="Times New Roman" w:cs="Times New Roman"/>
          <w:i/>
          <w:color w:val="44546A" w:themeColor="text2"/>
          <w:szCs w:val="20"/>
          <w:lang w:val="en-US" w:eastAsia="x-none"/>
        </w:rPr>
        <w:t>Option 1: All the repetitions for one transport block are contiguously scheduled in valid UL/DL subframes</w:t>
      </w:r>
    </w:p>
    <w:p w14:paraId="0A4CDC0D"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Option 2: The repetitions for one transport block are interleaved with repetitions of all the other transport blocks</w:t>
      </w:r>
    </w:p>
    <w:p w14:paraId="41A28550"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Option 3: Option 1 and 2 are supported and eNB configures among them.</w:t>
      </w:r>
    </w:p>
    <w:p w14:paraId="12E11672" w14:textId="77777777" w:rsidR="007C034E" w:rsidRPr="0042395E" w:rsidRDefault="007C034E" w:rsidP="004C27DD">
      <w:pPr>
        <w:rPr>
          <w:rFonts w:ascii="Times New Roman" w:hAnsi="Times New Roman"/>
          <w:lang w:val="en-US" w:eastAsia="x-none"/>
        </w:rPr>
      </w:pPr>
    </w:p>
    <w:bookmarkEnd w:id="36"/>
    <w:p w14:paraId="6026D8B9" w14:textId="77777777" w:rsidR="007C034E" w:rsidRPr="0042395E" w:rsidRDefault="007C034E"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4D550BB8" w14:textId="77777777" w:rsidR="007C034E" w:rsidRPr="0042395E" w:rsidRDefault="007C034E"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The maximum number of TBs for multicast is 8.</w:t>
      </w:r>
    </w:p>
    <w:p w14:paraId="32B5D75A" w14:textId="77777777" w:rsidR="007C034E" w:rsidRPr="0042395E" w:rsidRDefault="007C034E" w:rsidP="004C27DD">
      <w:pPr>
        <w:rPr>
          <w:rFonts w:ascii="Arial" w:hAnsi="Arial" w:cs="Arial"/>
          <w:lang w:val="en-US"/>
        </w:rPr>
      </w:pPr>
    </w:p>
    <w:p w14:paraId="572258FE" w14:textId="77777777" w:rsidR="007C034E" w:rsidRPr="0042395E" w:rsidRDefault="007C034E" w:rsidP="004C27DD">
      <w:pPr>
        <w:rPr>
          <w:rFonts w:ascii="Arial" w:hAnsi="Arial" w:cs="Arial"/>
          <w:lang w:val="en-US"/>
        </w:rPr>
      </w:pPr>
    </w:p>
    <w:p w14:paraId="735B66F9" w14:textId="77777777" w:rsidR="00DF047F" w:rsidRPr="0042395E" w:rsidRDefault="00DF047F" w:rsidP="004C27DD">
      <w:pPr>
        <w:rPr>
          <w:rFonts w:ascii="Arial" w:hAnsi="Arial" w:cs="Arial"/>
          <w:lang w:val="en-US"/>
        </w:rPr>
      </w:pPr>
      <w:r w:rsidRPr="0042395E">
        <w:rPr>
          <w:rFonts w:ascii="Arial" w:hAnsi="Arial" w:cs="Arial"/>
          <w:lang w:val="en-US"/>
        </w:rPr>
        <w:t>In RAN1#94bis, the following agreements were made:</w:t>
      </w:r>
    </w:p>
    <w:p w14:paraId="148A4F74" w14:textId="77777777" w:rsidR="00DF047F" w:rsidRPr="0042395E" w:rsidRDefault="00DF047F" w:rsidP="004C27DD">
      <w:pPr>
        <w:tabs>
          <w:tab w:val="left" w:pos="1701"/>
        </w:tabs>
        <w:spacing w:after="0" w:line="240" w:lineRule="auto"/>
        <w:ind w:left="2268" w:hanging="1701"/>
        <w:rPr>
          <w:rFonts w:ascii="Times New Roman" w:eastAsia="Times New Roman" w:hAnsi="Times New Roman" w:cs="Times New Roman"/>
          <w:b/>
          <w:bCs/>
          <w:i/>
          <w:color w:val="44546A" w:themeColor="text2"/>
          <w:szCs w:val="20"/>
          <w:highlight w:val="green"/>
          <w:lang w:val="en-US" w:eastAsia="zh-CN"/>
        </w:rPr>
      </w:pPr>
      <w:r w:rsidRPr="0042395E">
        <w:rPr>
          <w:rFonts w:ascii="Times New Roman" w:eastAsia="Times New Roman" w:hAnsi="Times New Roman" w:cs="Times New Roman"/>
          <w:b/>
          <w:bCs/>
          <w:i/>
          <w:color w:val="44546A" w:themeColor="text2"/>
          <w:szCs w:val="20"/>
          <w:highlight w:val="green"/>
          <w:lang w:val="en-US" w:eastAsia="zh-CN"/>
        </w:rPr>
        <w:t>Agreement</w:t>
      </w:r>
    </w:p>
    <w:p w14:paraId="1916C552"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Confirm the working assumption that</w:t>
      </w:r>
    </w:p>
    <w:p w14:paraId="199CACC3" w14:textId="77777777" w:rsidR="00DF047F" w:rsidRPr="0042395E" w:rsidRDefault="00DF047F" w:rsidP="00D43D4E">
      <w:pPr>
        <w:numPr>
          <w:ilvl w:val="0"/>
          <w:numId w:val="14"/>
        </w:numPr>
        <w:tabs>
          <w:tab w:val="left" w:pos="0"/>
        </w:tabs>
        <w:spacing w:after="0" w:line="240" w:lineRule="auto"/>
        <w:ind w:left="1287"/>
        <w:rPr>
          <w:rFonts w:ascii="Times New Roman" w:eastAsia="Times New Roman" w:hAnsi="Times New Roman" w:cs="Times New Roman"/>
          <w:bCs/>
          <w:i/>
          <w:color w:val="44546A" w:themeColor="text2"/>
          <w:szCs w:val="20"/>
          <w:lang w:val="en-US" w:eastAsia="x-none"/>
        </w:rPr>
      </w:pPr>
      <w:r w:rsidRPr="0042395E">
        <w:rPr>
          <w:rFonts w:ascii="Times New Roman" w:eastAsia="Times New Roman" w:hAnsi="Times New Roman" w:cs="Times New Roman"/>
          <w:bCs/>
          <w:i/>
          <w:color w:val="44546A" w:themeColor="text2"/>
          <w:szCs w:val="20"/>
          <w:lang w:val="en-US" w:eastAsia="x-none"/>
        </w:rPr>
        <w:t xml:space="preserve">For unicast, when multiple DL/UL transport blocks are assigned by a single DCI, each transport block corresponds to a unique HARQ process. </w:t>
      </w:r>
    </w:p>
    <w:p w14:paraId="2A9C83BE" w14:textId="77777777" w:rsidR="00DF047F" w:rsidRPr="0042395E" w:rsidRDefault="00DF047F" w:rsidP="004C27DD">
      <w:pPr>
        <w:spacing w:after="0" w:line="240" w:lineRule="auto"/>
        <w:ind w:left="1287" w:hanging="720"/>
        <w:rPr>
          <w:rFonts w:ascii="Times New Roman" w:eastAsia="Batang" w:hAnsi="Times New Roman" w:cs="Times New Roman"/>
          <w:i/>
          <w:color w:val="44546A" w:themeColor="text2"/>
          <w:szCs w:val="20"/>
          <w:lang w:val="en-US" w:eastAsia="x-none"/>
        </w:rPr>
      </w:pPr>
    </w:p>
    <w:p w14:paraId="5176CDC3" w14:textId="77777777" w:rsidR="00DF047F" w:rsidRPr="0042395E" w:rsidRDefault="00DF047F" w:rsidP="004C27DD">
      <w:pPr>
        <w:spacing w:after="0" w:line="240" w:lineRule="auto"/>
        <w:ind w:left="1287" w:hanging="720"/>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55C0A574"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 xml:space="preserve">For CE mode A, </w:t>
      </w:r>
      <w:bookmarkStart w:id="37" w:name="_Hlk528830882"/>
      <w:r w:rsidRPr="0042395E">
        <w:rPr>
          <w:rFonts w:ascii="Times New Roman" w:eastAsia="Batang" w:hAnsi="Times New Roman" w:cs="Times New Roman"/>
          <w:i/>
          <w:color w:val="44546A" w:themeColor="text2"/>
          <w:szCs w:val="20"/>
          <w:lang w:val="en-US" w:eastAsia="x-none"/>
        </w:rPr>
        <w:t xml:space="preserve">the maximum number of scheduled transport blocks with one single DCI is </w:t>
      </w:r>
      <w:bookmarkEnd w:id="37"/>
      <w:r w:rsidRPr="0042395E">
        <w:rPr>
          <w:rFonts w:ascii="Times New Roman" w:eastAsia="Batang" w:hAnsi="Times New Roman" w:cs="Times New Roman"/>
          <w:i/>
          <w:color w:val="44546A" w:themeColor="text2"/>
          <w:szCs w:val="20"/>
          <w:lang w:val="en-US" w:eastAsia="x-none"/>
        </w:rPr>
        <w:t>[8] for CE mode A for UL.</w:t>
      </w:r>
    </w:p>
    <w:p w14:paraId="5A983765"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eastAsia="x-none"/>
        </w:rPr>
        <w:t>For CE mode A, the maximum number of scheduled transport blocks with one single DCI is [8] for CE mode A for DL.</w:t>
      </w:r>
    </w:p>
    <w:p w14:paraId="1C91F8E2"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2705ABC1"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highlight w:val="green"/>
          <w:lang w:val="en-US" w:eastAsia="zh-CN"/>
        </w:rPr>
      </w:pPr>
      <w:r w:rsidRPr="0042395E">
        <w:rPr>
          <w:rFonts w:ascii="Times New Roman" w:eastAsia="Times New Roman" w:hAnsi="Times New Roman" w:cs="Times New Roman"/>
          <w:b/>
          <w:bCs/>
          <w:i/>
          <w:color w:val="44546A" w:themeColor="text2"/>
          <w:szCs w:val="20"/>
          <w:highlight w:val="green"/>
          <w:lang w:val="en-US" w:eastAsia="zh-CN"/>
        </w:rPr>
        <w:t>Agreement</w:t>
      </w:r>
    </w:p>
    <w:p w14:paraId="1F9AC0B0"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val="en-US" w:eastAsia="zh-CN"/>
        </w:rPr>
      </w:pPr>
      <w:r w:rsidRPr="0042395E">
        <w:rPr>
          <w:rFonts w:ascii="Times New Roman" w:eastAsia="Times New Roman" w:hAnsi="Times New Roman" w:cs="Times New Roman"/>
          <w:bCs/>
          <w:i/>
          <w:color w:val="44546A" w:themeColor="text2"/>
          <w:szCs w:val="20"/>
          <w:lang w:val="en-US" w:eastAsia="zh-CN"/>
        </w:rPr>
        <w:t>The maximum number of scheduled transport blocks with one single DCI for CE mode A for either UL or DL is fixed to [8]</w:t>
      </w:r>
    </w:p>
    <w:p w14:paraId="0EDEF4E9"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1A664160" w14:textId="77777777" w:rsidR="00DF047F" w:rsidRPr="0042395E" w:rsidRDefault="00DF047F" w:rsidP="004C27DD">
      <w:pPr>
        <w:spacing w:after="0" w:line="240" w:lineRule="auto"/>
        <w:ind w:left="567"/>
        <w:rPr>
          <w:rFonts w:ascii="Times New Roman" w:eastAsia="Batang" w:hAnsi="Times New Roman" w:cs="Times New Roman"/>
          <w:b/>
          <w:i/>
          <w:color w:val="44546A" w:themeColor="text2"/>
          <w:szCs w:val="20"/>
          <w:highlight w:val="darkYellow"/>
          <w:lang w:val="en-US"/>
        </w:rPr>
      </w:pPr>
      <w:r w:rsidRPr="0042395E">
        <w:rPr>
          <w:rFonts w:ascii="Times New Roman" w:eastAsia="Batang" w:hAnsi="Times New Roman" w:cs="Times New Roman"/>
          <w:b/>
          <w:i/>
          <w:color w:val="44546A" w:themeColor="text2"/>
          <w:szCs w:val="20"/>
          <w:highlight w:val="darkYellow"/>
          <w:lang w:val="en-US"/>
        </w:rPr>
        <w:t>Working Assumption</w:t>
      </w:r>
    </w:p>
    <w:p w14:paraId="5FE6B23A"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rPr>
        <w:t xml:space="preserve">For CE mode B, </w:t>
      </w:r>
      <w:bookmarkStart w:id="38" w:name="_Hlk528831337"/>
      <w:r w:rsidRPr="0042395E">
        <w:rPr>
          <w:rFonts w:ascii="Times New Roman" w:eastAsia="Batang" w:hAnsi="Times New Roman" w:cs="Times New Roman"/>
          <w:i/>
          <w:color w:val="44546A" w:themeColor="text2"/>
          <w:szCs w:val="20"/>
          <w:lang w:val="en-US"/>
        </w:rPr>
        <w:t>the maximum number of scheduled transport blocks with one single DCI is 4 in the UL, and 4 for the DL.</w:t>
      </w:r>
      <w:bookmarkEnd w:id="38"/>
    </w:p>
    <w:p w14:paraId="3050374F"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lang w:val="en-US" w:eastAsia="zh-CN"/>
        </w:rPr>
      </w:pPr>
    </w:p>
    <w:p w14:paraId="10669C2E"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highlight w:val="green"/>
          <w:lang w:val="en-US" w:eastAsia="zh-CN"/>
        </w:rPr>
      </w:pPr>
      <w:r w:rsidRPr="0042395E">
        <w:rPr>
          <w:rFonts w:ascii="Times New Roman" w:eastAsia="Times New Roman" w:hAnsi="Times New Roman" w:cs="Times New Roman"/>
          <w:b/>
          <w:bCs/>
          <w:i/>
          <w:color w:val="44546A" w:themeColor="text2"/>
          <w:szCs w:val="20"/>
          <w:highlight w:val="green"/>
          <w:lang w:val="en-US" w:eastAsia="zh-CN"/>
        </w:rPr>
        <w:t>Agreement</w:t>
      </w:r>
    </w:p>
    <w:p w14:paraId="4B825951"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val="en-US" w:eastAsia="zh-CN"/>
        </w:rPr>
      </w:pPr>
      <w:r w:rsidRPr="0042395E">
        <w:rPr>
          <w:rFonts w:ascii="Times New Roman" w:eastAsia="Times New Roman" w:hAnsi="Times New Roman" w:cs="Times New Roman"/>
          <w:bCs/>
          <w:i/>
          <w:color w:val="44546A" w:themeColor="text2"/>
          <w:szCs w:val="20"/>
          <w:lang w:val="en-US" w:eastAsia="zh-CN"/>
        </w:rPr>
        <w:t xml:space="preserve">The maximum number of scheduled transport blocks with one single DCI for CE mode B for either UL or DL is fixed to </w:t>
      </w:r>
      <w:r w:rsidRPr="0042395E">
        <w:rPr>
          <w:rFonts w:ascii="Times New Roman" w:eastAsia="Times New Roman" w:hAnsi="Times New Roman" w:cs="Times New Roman"/>
          <w:bCs/>
          <w:i/>
          <w:color w:val="44546A" w:themeColor="text2"/>
          <w:szCs w:val="20"/>
          <w:highlight w:val="darkYellow"/>
          <w:lang w:val="en-US" w:eastAsia="zh-CN"/>
        </w:rPr>
        <w:t>4 (working assumption)</w:t>
      </w:r>
    </w:p>
    <w:p w14:paraId="62A952A3"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14D42BBB" w14:textId="77777777" w:rsidR="00DF047F" w:rsidRPr="0042395E" w:rsidRDefault="00DF047F" w:rsidP="004C27DD">
      <w:pPr>
        <w:spacing w:after="0" w:line="240" w:lineRule="auto"/>
        <w:ind w:left="567"/>
        <w:rPr>
          <w:rFonts w:ascii="Times New Roman" w:eastAsia="Batang" w:hAnsi="Times New Roman" w:cs="Times New Roman"/>
          <w:b/>
          <w:i/>
          <w:color w:val="44546A" w:themeColor="text2"/>
          <w:szCs w:val="20"/>
          <w:lang w:val="en-US" w:eastAsia="x-none"/>
        </w:rPr>
      </w:pPr>
      <w:r w:rsidRPr="0042395E">
        <w:rPr>
          <w:rFonts w:ascii="Times New Roman" w:eastAsia="Batang" w:hAnsi="Times New Roman" w:cs="Times New Roman"/>
          <w:b/>
          <w:i/>
          <w:color w:val="44546A" w:themeColor="text2"/>
          <w:szCs w:val="20"/>
          <w:lang w:val="en-US" w:eastAsia="x-none"/>
        </w:rPr>
        <w:t>For further study until next meeting:</w:t>
      </w:r>
    </w:p>
    <w:p w14:paraId="2A9E69B8"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rPr>
      </w:pPr>
      <w:r w:rsidRPr="0042395E">
        <w:rPr>
          <w:rFonts w:ascii="Times New Roman" w:eastAsia="Batang" w:hAnsi="Times New Roman" w:cs="Times New Roman"/>
          <w:i/>
          <w:color w:val="44546A" w:themeColor="text2"/>
          <w:szCs w:val="20"/>
          <w:lang w:val="en-US"/>
        </w:rPr>
        <w:t>How to efficiently handle retransmissions when scheduling multiple DL/UL transport blocks.</w:t>
      </w:r>
    </w:p>
    <w:p w14:paraId="1A4A87F2"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384E090F" w14:textId="77777777" w:rsidR="00DF047F" w:rsidRPr="0042395E" w:rsidRDefault="00DF047F" w:rsidP="004C27DD">
      <w:pPr>
        <w:spacing w:after="0" w:line="240" w:lineRule="auto"/>
        <w:ind w:left="567"/>
        <w:rPr>
          <w:rFonts w:ascii="Times New Roman" w:eastAsia="Batang" w:hAnsi="Times New Roman" w:cs="Times New Roman"/>
          <w:b/>
          <w:i/>
          <w:color w:val="44546A" w:themeColor="text2"/>
          <w:szCs w:val="20"/>
          <w:highlight w:val="green"/>
          <w:lang w:val="en-US" w:eastAsia="x-none"/>
        </w:rPr>
      </w:pPr>
      <w:r w:rsidRPr="0042395E">
        <w:rPr>
          <w:rFonts w:ascii="Times New Roman" w:eastAsia="Batang" w:hAnsi="Times New Roman" w:cs="Times New Roman"/>
          <w:b/>
          <w:i/>
          <w:color w:val="44546A" w:themeColor="text2"/>
          <w:szCs w:val="20"/>
          <w:highlight w:val="green"/>
          <w:lang w:val="en-US" w:eastAsia="x-none"/>
        </w:rPr>
        <w:t>Agreement</w:t>
      </w:r>
    </w:p>
    <w:p w14:paraId="24BE5C7E"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rPr>
        <w:t>The UE should only monitor one DCI size in the UE specific search space</w:t>
      </w:r>
    </w:p>
    <w:p w14:paraId="35EF11A9"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2F85499A" w14:textId="77777777" w:rsidR="00DF047F" w:rsidRPr="0042395E" w:rsidRDefault="00DF047F" w:rsidP="004C27DD">
      <w:pPr>
        <w:spacing w:after="0" w:line="240" w:lineRule="auto"/>
        <w:ind w:left="567"/>
        <w:rPr>
          <w:rFonts w:ascii="Times New Roman" w:eastAsia="Batang" w:hAnsi="Times New Roman" w:cs="Times New Roman"/>
          <w:b/>
          <w:i/>
          <w:color w:val="44546A" w:themeColor="text2"/>
          <w:szCs w:val="20"/>
          <w:lang w:val="en-US" w:eastAsia="x-none"/>
        </w:rPr>
      </w:pPr>
      <w:r w:rsidRPr="0042395E">
        <w:rPr>
          <w:rFonts w:ascii="Times New Roman" w:eastAsia="Batang" w:hAnsi="Times New Roman" w:cs="Times New Roman"/>
          <w:b/>
          <w:i/>
          <w:color w:val="44546A" w:themeColor="text2"/>
          <w:szCs w:val="20"/>
          <w:lang w:val="en-US" w:eastAsia="x-none"/>
        </w:rPr>
        <w:t>For further consideration:</w:t>
      </w:r>
    </w:p>
    <w:p w14:paraId="27655E2E"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rPr>
      </w:pPr>
      <w:r w:rsidRPr="0042395E">
        <w:rPr>
          <w:rFonts w:ascii="Times New Roman" w:eastAsia="Batang" w:hAnsi="Times New Roman" w:cs="Times New Roman"/>
          <w:i/>
          <w:color w:val="44546A" w:themeColor="text2"/>
          <w:szCs w:val="20"/>
          <w:lang w:val="en-US"/>
        </w:rPr>
        <w:t>Optimization of the DCI size and the impact of aspects including number of transport blocks, scheduling pattern (interleaving and scheduling gap), resource assignment, modulation and coding scheme, retransmissions.</w:t>
      </w:r>
    </w:p>
    <w:p w14:paraId="76DADE41"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p>
    <w:p w14:paraId="458D51C2" w14:textId="77777777" w:rsidR="00DF047F" w:rsidRPr="0042395E" w:rsidRDefault="00DF047F" w:rsidP="004C27DD">
      <w:pPr>
        <w:spacing w:after="0" w:line="240" w:lineRule="auto"/>
        <w:ind w:left="567"/>
        <w:rPr>
          <w:rFonts w:ascii="Times New Roman" w:eastAsia="Batang" w:hAnsi="Times New Roman" w:cs="Times New Roman"/>
          <w:b/>
          <w:i/>
          <w:color w:val="44546A" w:themeColor="text2"/>
          <w:szCs w:val="20"/>
          <w:highlight w:val="green"/>
          <w:lang w:val="en-US"/>
        </w:rPr>
      </w:pPr>
      <w:r w:rsidRPr="0042395E">
        <w:rPr>
          <w:rFonts w:ascii="Times New Roman" w:eastAsia="Batang" w:hAnsi="Times New Roman" w:cs="Times New Roman"/>
          <w:b/>
          <w:i/>
          <w:color w:val="44546A" w:themeColor="text2"/>
          <w:szCs w:val="20"/>
          <w:highlight w:val="green"/>
          <w:lang w:val="en-US"/>
        </w:rPr>
        <w:t>Agreement</w:t>
      </w:r>
    </w:p>
    <w:p w14:paraId="598659EA" w14:textId="77777777" w:rsidR="00DF047F" w:rsidRPr="0042395E" w:rsidRDefault="00DF047F" w:rsidP="004C27DD">
      <w:pPr>
        <w:spacing w:after="0" w:line="240" w:lineRule="auto"/>
        <w:ind w:left="567"/>
        <w:rPr>
          <w:rFonts w:ascii="Times New Roman" w:eastAsia="Batang" w:hAnsi="Times New Roman" w:cs="Times New Roman"/>
          <w:i/>
          <w:color w:val="44546A" w:themeColor="text2"/>
          <w:szCs w:val="20"/>
          <w:lang w:val="en-US" w:eastAsia="x-none"/>
        </w:rPr>
      </w:pPr>
      <w:r w:rsidRPr="0042395E">
        <w:rPr>
          <w:rFonts w:ascii="Times New Roman" w:eastAsia="Batang" w:hAnsi="Times New Roman" w:cs="Times New Roman"/>
          <w:i/>
          <w:color w:val="44546A" w:themeColor="text2"/>
          <w:szCs w:val="20"/>
          <w:lang w:val="en-US"/>
        </w:rPr>
        <w:t>Using one DCI to schedule multiple TBs for SC-MTCH is supported, and it is configured and enabled per SC-MTCH via SC-PTM configuration message in SC-MCCH. FFS the maximum number of TBs can be scheduled by one DCI.</w:t>
      </w:r>
    </w:p>
    <w:p w14:paraId="12344911" w14:textId="77777777" w:rsidR="00DF047F" w:rsidRPr="0042395E" w:rsidRDefault="00DF047F" w:rsidP="004C27DD">
      <w:pPr>
        <w:spacing w:after="0" w:line="240" w:lineRule="auto"/>
        <w:ind w:left="1287" w:hanging="720"/>
        <w:rPr>
          <w:rFonts w:ascii="Times New Roman" w:eastAsia="Batang" w:hAnsi="Times New Roman" w:cs="Times New Roman"/>
          <w:i/>
          <w:color w:val="44546A" w:themeColor="text2"/>
          <w:szCs w:val="20"/>
          <w:lang w:val="en-US" w:eastAsia="x-none"/>
        </w:rPr>
      </w:pPr>
    </w:p>
    <w:p w14:paraId="7AE3C998" w14:textId="77777777" w:rsidR="00DF047F" w:rsidRPr="0042395E" w:rsidRDefault="00DF047F" w:rsidP="004C27DD">
      <w:pPr>
        <w:spacing w:after="0" w:line="240" w:lineRule="auto"/>
        <w:ind w:left="1287" w:hanging="720"/>
        <w:rPr>
          <w:rFonts w:ascii="Times New Roman" w:eastAsia="Batang" w:hAnsi="Times New Roman" w:cs="Times New Roman"/>
          <w:b/>
          <w:i/>
          <w:color w:val="44546A" w:themeColor="text2"/>
          <w:szCs w:val="20"/>
          <w:highlight w:val="green"/>
          <w:lang w:val="en-US"/>
        </w:rPr>
      </w:pPr>
      <w:r w:rsidRPr="0042395E">
        <w:rPr>
          <w:rFonts w:ascii="Times New Roman" w:eastAsia="Batang" w:hAnsi="Times New Roman" w:cs="Times New Roman"/>
          <w:b/>
          <w:i/>
          <w:color w:val="44546A" w:themeColor="text2"/>
          <w:szCs w:val="20"/>
          <w:highlight w:val="green"/>
          <w:lang w:val="en-US"/>
        </w:rPr>
        <w:t>Agreement</w:t>
      </w:r>
    </w:p>
    <w:p w14:paraId="0FB9C3CF"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val="en-US"/>
        </w:rPr>
      </w:pPr>
      <w:bookmarkStart w:id="39" w:name="_Hlk4358342"/>
      <w:r w:rsidRPr="0042395E">
        <w:rPr>
          <w:rFonts w:ascii="Times New Roman" w:eastAsia="Times New Roman" w:hAnsi="Times New Roman" w:cs="Times New Roman"/>
          <w:bCs/>
          <w:i/>
          <w:color w:val="44546A" w:themeColor="text2"/>
          <w:szCs w:val="20"/>
          <w:lang w:val="en-US"/>
        </w:rPr>
        <w:lastRenderedPageBreak/>
        <w:t>For CE mode A, HARQ ACK/NACK feedback bundling or multiplexing on PUCCH can be enabled or disabled by [RRC and/or DCI], when multiple DL transport blocks are assigned by a single DCI</w:t>
      </w:r>
      <w:bookmarkEnd w:id="39"/>
      <w:r w:rsidRPr="0042395E">
        <w:rPr>
          <w:rFonts w:ascii="Times New Roman" w:eastAsia="Times New Roman" w:hAnsi="Times New Roman" w:cs="Times New Roman"/>
          <w:bCs/>
          <w:i/>
          <w:color w:val="44546A" w:themeColor="text2"/>
          <w:szCs w:val="20"/>
          <w:lang w:val="en-US"/>
        </w:rPr>
        <w:t xml:space="preserve">. If the network does not enable it, each TB has its own separately encoded HARQ ACK/NACK feedback, i.e., no HARQ ACK/NACK feedback bundling or multiplexing. </w:t>
      </w:r>
    </w:p>
    <w:p w14:paraId="64998BC7" w14:textId="77777777" w:rsidR="00DF047F" w:rsidRPr="0042395E" w:rsidRDefault="00DF047F" w:rsidP="00D43D4E">
      <w:pPr>
        <w:numPr>
          <w:ilvl w:val="0"/>
          <w:numId w:val="14"/>
        </w:numPr>
        <w:tabs>
          <w:tab w:val="left" w:pos="0"/>
        </w:tabs>
        <w:spacing w:after="0" w:line="240" w:lineRule="auto"/>
        <w:ind w:left="1287"/>
        <w:rPr>
          <w:rFonts w:ascii="Times New Roman" w:eastAsia="Times New Roman" w:hAnsi="Times New Roman" w:cs="Times New Roman"/>
          <w:bCs/>
          <w:i/>
          <w:color w:val="44546A" w:themeColor="text2"/>
          <w:szCs w:val="20"/>
          <w:lang w:val="en-US" w:eastAsia="x-none"/>
        </w:rPr>
      </w:pPr>
      <w:r w:rsidRPr="0042395E">
        <w:rPr>
          <w:rFonts w:ascii="Times New Roman" w:eastAsia="Times New Roman" w:hAnsi="Times New Roman" w:cs="Times New Roman"/>
          <w:bCs/>
          <w:i/>
          <w:color w:val="44546A" w:themeColor="text2"/>
          <w:szCs w:val="20"/>
          <w:lang w:val="en-US" w:eastAsia="x-none"/>
        </w:rPr>
        <w:t xml:space="preserve">RAN1 further compare the performance between HARQ ACK/NACK feedback bundling and multiplexing and down-select between the two options. </w:t>
      </w:r>
    </w:p>
    <w:p w14:paraId="7194383E" w14:textId="77777777" w:rsidR="00DF047F" w:rsidRPr="0042395E"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val="en-US"/>
        </w:rPr>
      </w:pPr>
      <w:r w:rsidRPr="0042395E">
        <w:rPr>
          <w:rFonts w:ascii="Times New Roman" w:eastAsia="Times New Roman" w:hAnsi="Times New Roman" w:cs="Times New Roman"/>
          <w:bCs/>
          <w:i/>
          <w:color w:val="44546A" w:themeColor="text2"/>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4E60D1BF" w14:textId="77777777" w:rsidR="00DF047F" w:rsidRPr="0042395E" w:rsidRDefault="00DF047F" w:rsidP="004C27DD">
      <w:pPr>
        <w:rPr>
          <w:rFonts w:ascii="Arial" w:hAnsi="Arial" w:cs="Arial"/>
          <w:lang w:val="en-US"/>
        </w:rPr>
      </w:pPr>
    </w:p>
    <w:p w14:paraId="1804B46C" w14:textId="6C9C972F" w:rsidR="00C84B11" w:rsidRPr="0042395E" w:rsidRDefault="00C84B11" w:rsidP="004C27DD">
      <w:pPr>
        <w:rPr>
          <w:rFonts w:ascii="Arial" w:hAnsi="Arial" w:cs="Arial"/>
          <w:lang w:val="en-US"/>
        </w:rPr>
      </w:pPr>
      <w:r w:rsidRPr="0042395E">
        <w:rPr>
          <w:rFonts w:ascii="Arial" w:hAnsi="Arial" w:cs="Arial"/>
          <w:lang w:val="en-US"/>
        </w:rPr>
        <w:t>In RAN1 #94 the following agreement was made with respect to Scheduling of multiple DL/UL transport blocks:</w:t>
      </w:r>
    </w:p>
    <w:p w14:paraId="078A539A" w14:textId="77777777" w:rsidR="00C84B11" w:rsidRPr="0042395E" w:rsidRDefault="00C84B11" w:rsidP="004C27DD">
      <w:pPr>
        <w:ind w:left="567"/>
        <w:rPr>
          <w:rFonts w:ascii="Times New Roman" w:hAnsi="Times New Roman" w:cs="Times New Roman"/>
          <w:b/>
          <w:i/>
          <w:color w:val="44546A" w:themeColor="text2"/>
          <w:szCs w:val="20"/>
          <w:lang w:val="en-US"/>
        </w:rPr>
      </w:pPr>
      <w:r w:rsidRPr="0042395E">
        <w:rPr>
          <w:rFonts w:ascii="Times New Roman" w:hAnsi="Times New Roman" w:cs="Times New Roman"/>
          <w:b/>
          <w:i/>
          <w:color w:val="44546A" w:themeColor="text2"/>
          <w:szCs w:val="20"/>
          <w:highlight w:val="green"/>
          <w:lang w:val="en-US"/>
        </w:rPr>
        <w:t>Agreement</w:t>
      </w:r>
      <w:r w:rsidRPr="0042395E">
        <w:rPr>
          <w:rFonts w:ascii="Times New Roman" w:hAnsi="Times New Roman" w:cs="Times New Roman"/>
          <w:b/>
          <w:i/>
          <w:color w:val="44546A" w:themeColor="text2"/>
          <w:szCs w:val="20"/>
          <w:lang w:val="en-US"/>
        </w:rPr>
        <w:br/>
      </w:r>
      <w:r w:rsidRPr="0042395E">
        <w:rPr>
          <w:rFonts w:ascii="Times New Roman" w:hAnsi="Times New Roman" w:cs="Times New Roman"/>
          <w:i/>
          <w:color w:val="44546A" w:themeColor="text2"/>
          <w:szCs w:val="20"/>
          <w:lang w:val="en-US"/>
        </w:rPr>
        <w:t>Specify scheduling of multiple transport blocks for both CE Mode A and B</w:t>
      </w:r>
    </w:p>
    <w:p w14:paraId="60B5EF8B" w14:textId="77777777" w:rsidR="00C84B11" w:rsidRPr="0042395E" w:rsidRDefault="00C84B11" w:rsidP="004C27DD">
      <w:pPr>
        <w:ind w:left="567"/>
        <w:rPr>
          <w:rFonts w:ascii="Times New Roman" w:hAnsi="Times New Roman" w:cs="Times New Roman"/>
          <w:b/>
          <w:i/>
          <w:color w:val="44546A" w:themeColor="text2"/>
          <w:szCs w:val="20"/>
          <w:lang w:val="en-US"/>
        </w:rPr>
      </w:pPr>
      <w:r w:rsidRPr="0042395E">
        <w:rPr>
          <w:rFonts w:ascii="Times New Roman" w:hAnsi="Times New Roman" w:cs="Times New Roman"/>
          <w:b/>
          <w:i/>
          <w:color w:val="44546A" w:themeColor="text2"/>
          <w:szCs w:val="20"/>
          <w:highlight w:val="green"/>
          <w:lang w:val="en-US"/>
        </w:rPr>
        <w:t>Agreement</w:t>
      </w:r>
      <w:r w:rsidRPr="0042395E">
        <w:rPr>
          <w:rFonts w:ascii="Times New Roman" w:hAnsi="Times New Roman" w:cs="Times New Roman"/>
          <w:b/>
          <w:i/>
          <w:color w:val="44546A" w:themeColor="text2"/>
          <w:szCs w:val="20"/>
          <w:lang w:val="en-US"/>
        </w:rPr>
        <w:br/>
      </w:r>
      <w:r w:rsidRPr="0042395E">
        <w:rPr>
          <w:rFonts w:ascii="Times New Roman" w:hAnsi="Times New Roman" w:cs="Times New Roman"/>
          <w:i/>
          <w:color w:val="44546A" w:themeColor="text2"/>
          <w:szCs w:val="20"/>
          <w:lang w:val="en-US"/>
        </w:rPr>
        <w:t>The possibility of scheduling multiple DL/UL transport blocks is configured via RRC. Details TBD</w:t>
      </w:r>
    </w:p>
    <w:p w14:paraId="3EB394F7" w14:textId="77777777" w:rsidR="00C84B11" w:rsidRPr="0042395E" w:rsidRDefault="00C84B11" w:rsidP="004C27DD">
      <w:pPr>
        <w:ind w:left="567"/>
        <w:rPr>
          <w:rFonts w:ascii="Times New Roman" w:hAnsi="Times New Roman" w:cs="Times New Roman"/>
          <w:b/>
          <w:i/>
          <w:color w:val="44546A" w:themeColor="text2"/>
          <w:szCs w:val="20"/>
          <w:lang w:val="en-US"/>
        </w:rPr>
      </w:pPr>
      <w:r w:rsidRPr="0042395E">
        <w:rPr>
          <w:rFonts w:ascii="Times New Roman" w:hAnsi="Times New Roman" w:cs="Times New Roman"/>
          <w:b/>
          <w:i/>
          <w:color w:val="44546A" w:themeColor="text2"/>
          <w:szCs w:val="20"/>
          <w:highlight w:val="green"/>
          <w:lang w:val="en-US"/>
        </w:rPr>
        <w:t>Agreement</w:t>
      </w:r>
      <w:r w:rsidRPr="0042395E">
        <w:rPr>
          <w:rFonts w:ascii="Times New Roman" w:hAnsi="Times New Roman" w:cs="Times New Roman"/>
          <w:b/>
          <w:i/>
          <w:color w:val="44546A" w:themeColor="text2"/>
          <w:szCs w:val="20"/>
          <w:lang w:val="en-US"/>
        </w:rPr>
        <w:br/>
      </w:r>
      <w:r w:rsidRPr="0042395E">
        <w:rPr>
          <w:rFonts w:ascii="Times New Roman" w:hAnsi="Times New Roman" w:cs="Times New Roman"/>
          <w:i/>
          <w:color w:val="44546A" w:themeColor="text2"/>
          <w:lang w:val="en-US"/>
        </w:rPr>
        <w:t>When scheduling of multiple TBs is enabled, the number of scheduled transport blocks (&gt;= 1) should be dynamically selected via DCI. The maximum number of scheduled transport blocks with one single DCI is [TBD].</w:t>
      </w:r>
    </w:p>
    <w:p w14:paraId="0A66B009" w14:textId="77777777" w:rsidR="00C84B11" w:rsidRPr="0042395E" w:rsidRDefault="00C84B11" w:rsidP="004C27DD">
      <w:pPr>
        <w:ind w:left="567"/>
        <w:rPr>
          <w:rFonts w:ascii="Times New Roman" w:hAnsi="Times New Roman" w:cs="Times New Roman"/>
          <w:b/>
          <w:i/>
          <w:color w:val="44546A" w:themeColor="text2"/>
          <w:lang w:val="en-US"/>
        </w:rPr>
      </w:pPr>
      <w:r w:rsidRPr="0042395E">
        <w:rPr>
          <w:rFonts w:ascii="Times New Roman" w:hAnsi="Times New Roman" w:cs="Times New Roman"/>
          <w:i/>
          <w:color w:val="44546A" w:themeColor="text2"/>
          <w:lang w:val="en-US"/>
        </w:rPr>
        <w:t xml:space="preserve">The number of </w:t>
      </w:r>
      <w:proofErr w:type="gramStart"/>
      <w:r w:rsidRPr="0042395E">
        <w:rPr>
          <w:rFonts w:ascii="Times New Roman" w:hAnsi="Times New Roman" w:cs="Times New Roman"/>
          <w:i/>
          <w:color w:val="44546A" w:themeColor="text2"/>
          <w:lang w:val="en-US"/>
        </w:rPr>
        <w:t>blind</w:t>
      </w:r>
      <w:proofErr w:type="gramEnd"/>
      <w:r w:rsidRPr="0042395E">
        <w:rPr>
          <w:rFonts w:ascii="Times New Roman" w:hAnsi="Times New Roman" w:cs="Times New Roman"/>
          <w:i/>
          <w:color w:val="44546A" w:themeColor="text2"/>
          <w:lang w:val="en-US"/>
        </w:rPr>
        <w:t xml:space="preserve"> decodes for MPDCCH is not increased as a result of scheduling multiple TBs</w:t>
      </w:r>
    </w:p>
    <w:p w14:paraId="207BF6C1" w14:textId="77777777" w:rsidR="00C84B11" w:rsidRPr="0042395E" w:rsidRDefault="00C84B11" w:rsidP="004C27DD">
      <w:pPr>
        <w:ind w:left="567"/>
        <w:rPr>
          <w:rFonts w:ascii="Times New Roman" w:hAnsi="Times New Roman" w:cs="Times New Roman"/>
          <w:b/>
          <w:i/>
          <w:color w:val="44546A" w:themeColor="text2"/>
          <w:szCs w:val="20"/>
          <w:lang w:val="en-US"/>
        </w:rPr>
      </w:pPr>
      <w:r w:rsidRPr="0042395E">
        <w:rPr>
          <w:rFonts w:ascii="Times New Roman" w:hAnsi="Times New Roman" w:cs="Times New Roman"/>
          <w:b/>
          <w:i/>
          <w:color w:val="44546A" w:themeColor="text2"/>
          <w:szCs w:val="20"/>
          <w:lang w:val="en-US"/>
        </w:rPr>
        <w:t>Conclusion</w:t>
      </w:r>
      <w:r w:rsidRPr="0042395E">
        <w:rPr>
          <w:rFonts w:ascii="Times New Roman" w:hAnsi="Times New Roman" w:cs="Times New Roman"/>
          <w:b/>
          <w:i/>
          <w:color w:val="44546A" w:themeColor="text2"/>
          <w:szCs w:val="20"/>
          <w:lang w:val="en-US"/>
        </w:rPr>
        <w:br/>
      </w:r>
      <w:r w:rsidRPr="0042395E">
        <w:rPr>
          <w:rFonts w:ascii="Times New Roman" w:hAnsi="Times New Roman" w:cs="Times New Roman"/>
          <w:i/>
          <w:color w:val="44546A" w:themeColor="text2"/>
          <w:szCs w:val="20"/>
          <w:lang w:val="en-US"/>
        </w:rPr>
        <w:t>When multiple TBs are scheduled by one DCI, study interleaving amongst TBs from different HARQ process in cases of repetitions</w:t>
      </w:r>
    </w:p>
    <w:p w14:paraId="4EB60767" w14:textId="77777777" w:rsidR="00C84B11" w:rsidRPr="0042395E" w:rsidRDefault="00C84B11" w:rsidP="00D43D4E">
      <w:pPr>
        <w:pStyle w:val="ListParagraph"/>
        <w:numPr>
          <w:ilvl w:val="0"/>
          <w:numId w:val="13"/>
        </w:numPr>
        <w:rPr>
          <w:rFonts w:ascii="Times New Roman" w:hAnsi="Times New Roman" w:cs="Times New Roman"/>
          <w:i/>
          <w:color w:val="44546A" w:themeColor="text2"/>
          <w:szCs w:val="20"/>
          <w:lang w:val="en-US"/>
        </w:rPr>
      </w:pPr>
      <w:r w:rsidRPr="0042395E">
        <w:rPr>
          <w:rFonts w:ascii="Times New Roman" w:hAnsi="Times New Roman" w:cs="Times New Roman"/>
          <w:i/>
          <w:color w:val="44546A" w:themeColor="text2"/>
          <w:szCs w:val="20"/>
          <w:lang w:val="en-US"/>
        </w:rPr>
        <w:t>Companies are encouraged to submit evaluation results in the next RAN1 meeting</w:t>
      </w:r>
    </w:p>
    <w:p w14:paraId="3846EA96" w14:textId="77777777" w:rsidR="00C84B11" w:rsidRPr="0042395E" w:rsidRDefault="00C84B11" w:rsidP="004C27DD">
      <w:pPr>
        <w:ind w:left="567"/>
        <w:rPr>
          <w:rFonts w:ascii="Times New Roman" w:hAnsi="Times New Roman" w:cs="Times New Roman"/>
          <w:i/>
          <w:color w:val="44546A" w:themeColor="text2"/>
          <w:szCs w:val="20"/>
          <w:lang w:val="en-US"/>
        </w:rPr>
      </w:pPr>
    </w:p>
    <w:p w14:paraId="13A2531D" w14:textId="77777777" w:rsidR="00C84B11" w:rsidRPr="0042395E" w:rsidRDefault="00C84B11" w:rsidP="004C27DD">
      <w:pPr>
        <w:ind w:left="567"/>
        <w:rPr>
          <w:rFonts w:ascii="Times New Roman" w:hAnsi="Times New Roman" w:cs="Times New Roman"/>
          <w:b/>
          <w:i/>
          <w:color w:val="44546A" w:themeColor="text2"/>
          <w:szCs w:val="20"/>
          <w:lang w:val="en-US"/>
        </w:rPr>
      </w:pPr>
      <w:r w:rsidRPr="0042395E">
        <w:rPr>
          <w:rFonts w:ascii="Times New Roman" w:hAnsi="Times New Roman" w:cs="Times New Roman"/>
          <w:b/>
          <w:i/>
          <w:color w:val="44546A" w:themeColor="text2"/>
          <w:szCs w:val="20"/>
          <w:highlight w:val="green"/>
          <w:lang w:val="en-US"/>
        </w:rPr>
        <w:t>Agreement</w:t>
      </w:r>
      <w:r w:rsidRPr="0042395E">
        <w:rPr>
          <w:rFonts w:ascii="Times New Roman" w:hAnsi="Times New Roman" w:cs="Times New Roman"/>
          <w:b/>
          <w:i/>
          <w:color w:val="44546A" w:themeColor="text2"/>
          <w:szCs w:val="20"/>
          <w:lang w:val="en-US"/>
        </w:rPr>
        <w:br/>
      </w:r>
      <w:r w:rsidRPr="0042395E">
        <w:rPr>
          <w:rFonts w:ascii="Times New Roman" w:hAnsi="Times New Roman" w:cs="Times New Roman"/>
          <w:i/>
          <w:color w:val="44546A" w:themeColor="text2"/>
          <w:szCs w:val="20"/>
          <w:lang w:val="en-US"/>
        </w:rPr>
        <w:t>One DCI to schedule multiple TBs for SC-MCCH is not supported</w:t>
      </w:r>
    </w:p>
    <w:p w14:paraId="555B321C" w14:textId="77777777" w:rsidR="00C84B11" w:rsidRPr="0042395E" w:rsidRDefault="00C84B11" w:rsidP="004C27DD">
      <w:pPr>
        <w:ind w:left="567"/>
        <w:rPr>
          <w:rFonts w:ascii="Times New Roman" w:hAnsi="Times New Roman" w:cs="Times New Roman"/>
          <w:b/>
          <w:i/>
          <w:color w:val="44546A" w:themeColor="text2"/>
          <w:highlight w:val="darkYellow"/>
          <w:lang w:val="en-US"/>
        </w:rPr>
      </w:pPr>
      <w:r w:rsidRPr="0042395E">
        <w:rPr>
          <w:rFonts w:ascii="Times New Roman" w:hAnsi="Times New Roman" w:cs="Times New Roman"/>
          <w:b/>
          <w:i/>
          <w:color w:val="44546A" w:themeColor="text2"/>
          <w:highlight w:val="darkYellow"/>
          <w:lang w:val="en-US"/>
        </w:rPr>
        <w:t>Working assumption</w:t>
      </w:r>
      <w:r w:rsidRPr="0042395E">
        <w:rPr>
          <w:rFonts w:ascii="Times New Roman" w:hAnsi="Times New Roman" w:cs="Times New Roman"/>
          <w:b/>
          <w:i/>
          <w:color w:val="44546A" w:themeColor="text2"/>
          <w:lang w:val="en-US"/>
        </w:rPr>
        <w:br/>
      </w:r>
      <w:r w:rsidRPr="0042395E">
        <w:rPr>
          <w:rFonts w:ascii="Times New Roman" w:hAnsi="Times New Roman" w:cs="Times New Roman"/>
          <w:i/>
          <w:color w:val="44546A" w:themeColor="text2"/>
          <w:lang w:val="en-US"/>
        </w:rPr>
        <w:t xml:space="preserve">For unicast, when multiple DL/UL transport blocks are assigned by a single DCI, each transport block corresponds to a unique HARQ process. </w:t>
      </w:r>
    </w:p>
    <w:sectPr w:rsidR="00C84B11" w:rsidRPr="0042395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76493" w14:textId="77777777" w:rsidR="005255C3" w:rsidRDefault="005255C3">
      <w:r>
        <w:separator/>
      </w:r>
    </w:p>
  </w:endnote>
  <w:endnote w:type="continuationSeparator" w:id="0">
    <w:p w14:paraId="012E0767" w14:textId="77777777" w:rsidR="005255C3" w:rsidRDefault="005255C3">
      <w:r>
        <w:continuationSeparator/>
      </w:r>
    </w:p>
  </w:endnote>
  <w:endnote w:type="continuationNotice" w:id="1">
    <w:p w14:paraId="41D92657" w14:textId="77777777" w:rsidR="005255C3" w:rsidRDefault="00525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E0332" w14:textId="77777777" w:rsidR="005255C3" w:rsidRDefault="005255C3">
      <w:r>
        <w:separator/>
      </w:r>
    </w:p>
  </w:footnote>
  <w:footnote w:type="continuationSeparator" w:id="0">
    <w:p w14:paraId="47711002" w14:textId="77777777" w:rsidR="005255C3" w:rsidRDefault="005255C3">
      <w:r>
        <w:continuationSeparator/>
      </w:r>
    </w:p>
  </w:footnote>
  <w:footnote w:type="continuationNotice" w:id="1">
    <w:p w14:paraId="607C88DE" w14:textId="77777777" w:rsidR="005255C3" w:rsidRDefault="005255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3F0C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44C2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10C44"/>
    <w:multiLevelType w:val="hybridMultilevel"/>
    <w:tmpl w:val="8E583976"/>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604378"/>
    <w:multiLevelType w:val="hybridMultilevel"/>
    <w:tmpl w:val="23A24B3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37E1D5A"/>
    <w:multiLevelType w:val="hybridMultilevel"/>
    <w:tmpl w:val="76BEB23A"/>
    <w:lvl w:ilvl="0" w:tplc="041D0001">
      <w:start w:val="1"/>
      <w:numFmt w:val="bullet"/>
      <w:lvlText w:val=""/>
      <w:lvlJc w:val="left"/>
      <w:pPr>
        <w:ind w:left="1287" w:hanging="360"/>
      </w:pPr>
      <w:rPr>
        <w:rFonts w:ascii="Symbol" w:hAnsi="Symbol"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
  </w:num>
  <w:num w:numId="4">
    <w:abstractNumId w:val="14"/>
  </w:num>
  <w:num w:numId="5">
    <w:abstractNumId w:val="15"/>
  </w:num>
  <w:num w:numId="6">
    <w:abstractNumId w:val="17"/>
  </w:num>
  <w:num w:numId="7">
    <w:abstractNumId w:val="6"/>
  </w:num>
  <w:num w:numId="8">
    <w:abstractNumId w:val="8"/>
  </w:num>
  <w:num w:numId="9">
    <w:abstractNumId w:val="4"/>
  </w:num>
  <w:num w:numId="10">
    <w:abstractNumId w:val="20"/>
  </w:num>
  <w:num w:numId="11">
    <w:abstractNumId w:val="9"/>
  </w:num>
  <w:num w:numId="12">
    <w:abstractNumId w:val="19"/>
  </w:num>
  <w:num w:numId="13">
    <w:abstractNumId w:val="21"/>
  </w:num>
  <w:num w:numId="14">
    <w:abstractNumId w:val="10"/>
  </w:num>
  <w:num w:numId="15">
    <w:abstractNumId w:val="7"/>
  </w:num>
  <w:num w:numId="16">
    <w:abstractNumId w:val="5"/>
  </w:num>
  <w:num w:numId="17">
    <w:abstractNumId w:val="22"/>
  </w:num>
  <w:num w:numId="18">
    <w:abstractNumId w:val="1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
  </w:num>
  <w:num w:numId="22">
    <w:abstractNumId w:val="1"/>
  </w:num>
  <w:num w:numId="23">
    <w:abstractNumId w:val="0"/>
  </w:num>
  <w:num w:numId="2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0A0E"/>
    <w:rsid w:val="00001C13"/>
    <w:rsid w:val="00002A37"/>
    <w:rsid w:val="00002E2A"/>
    <w:rsid w:val="00004DA3"/>
    <w:rsid w:val="0000564C"/>
    <w:rsid w:val="00006446"/>
    <w:rsid w:val="00006896"/>
    <w:rsid w:val="00007CDC"/>
    <w:rsid w:val="000100C5"/>
    <w:rsid w:val="00010EDB"/>
    <w:rsid w:val="00011B28"/>
    <w:rsid w:val="00012410"/>
    <w:rsid w:val="00012E2F"/>
    <w:rsid w:val="00013622"/>
    <w:rsid w:val="00013DBE"/>
    <w:rsid w:val="00013E6A"/>
    <w:rsid w:val="0001446B"/>
    <w:rsid w:val="00014473"/>
    <w:rsid w:val="00015D15"/>
    <w:rsid w:val="00016292"/>
    <w:rsid w:val="00016BEC"/>
    <w:rsid w:val="00017808"/>
    <w:rsid w:val="00017C22"/>
    <w:rsid w:val="0002031D"/>
    <w:rsid w:val="00020FF6"/>
    <w:rsid w:val="0002273B"/>
    <w:rsid w:val="00022A79"/>
    <w:rsid w:val="000239FA"/>
    <w:rsid w:val="00023D2B"/>
    <w:rsid w:val="0002483C"/>
    <w:rsid w:val="0002564D"/>
    <w:rsid w:val="00025D89"/>
    <w:rsid w:val="00025ECA"/>
    <w:rsid w:val="00030006"/>
    <w:rsid w:val="00031AE5"/>
    <w:rsid w:val="00031F06"/>
    <w:rsid w:val="000325B8"/>
    <w:rsid w:val="00034C15"/>
    <w:rsid w:val="00034EAB"/>
    <w:rsid w:val="00036BA1"/>
    <w:rsid w:val="0003755F"/>
    <w:rsid w:val="00040A52"/>
    <w:rsid w:val="00040B7C"/>
    <w:rsid w:val="00041EDE"/>
    <w:rsid w:val="000422E2"/>
    <w:rsid w:val="00042F22"/>
    <w:rsid w:val="0004356A"/>
    <w:rsid w:val="000444EF"/>
    <w:rsid w:val="000477A4"/>
    <w:rsid w:val="00050C60"/>
    <w:rsid w:val="00052443"/>
    <w:rsid w:val="00052A07"/>
    <w:rsid w:val="000534E3"/>
    <w:rsid w:val="00055093"/>
    <w:rsid w:val="0005606A"/>
    <w:rsid w:val="00057117"/>
    <w:rsid w:val="000574F2"/>
    <w:rsid w:val="000616E7"/>
    <w:rsid w:val="0006170D"/>
    <w:rsid w:val="0006346A"/>
    <w:rsid w:val="00063622"/>
    <w:rsid w:val="0006487E"/>
    <w:rsid w:val="000655F2"/>
    <w:rsid w:val="00065E1A"/>
    <w:rsid w:val="00065FA5"/>
    <w:rsid w:val="00066981"/>
    <w:rsid w:val="00071484"/>
    <w:rsid w:val="00073101"/>
    <w:rsid w:val="0007647D"/>
    <w:rsid w:val="0007723F"/>
    <w:rsid w:val="00077E5F"/>
    <w:rsid w:val="0008036A"/>
    <w:rsid w:val="00081AE6"/>
    <w:rsid w:val="00081EAF"/>
    <w:rsid w:val="0008212A"/>
    <w:rsid w:val="0008471C"/>
    <w:rsid w:val="000855EB"/>
    <w:rsid w:val="00085B52"/>
    <w:rsid w:val="000866F2"/>
    <w:rsid w:val="00086FD1"/>
    <w:rsid w:val="0009009F"/>
    <w:rsid w:val="00091557"/>
    <w:rsid w:val="000924C1"/>
    <w:rsid w:val="000924F0"/>
    <w:rsid w:val="00092C6A"/>
    <w:rsid w:val="00092CD2"/>
    <w:rsid w:val="00093474"/>
    <w:rsid w:val="0009510F"/>
    <w:rsid w:val="00096182"/>
    <w:rsid w:val="00096675"/>
    <w:rsid w:val="0009688C"/>
    <w:rsid w:val="000976EE"/>
    <w:rsid w:val="000A12E5"/>
    <w:rsid w:val="000A1B7B"/>
    <w:rsid w:val="000A3668"/>
    <w:rsid w:val="000A4CBE"/>
    <w:rsid w:val="000A56F2"/>
    <w:rsid w:val="000B2719"/>
    <w:rsid w:val="000B3A8F"/>
    <w:rsid w:val="000B42D3"/>
    <w:rsid w:val="000B4AB9"/>
    <w:rsid w:val="000B58C3"/>
    <w:rsid w:val="000B61E9"/>
    <w:rsid w:val="000B6B2E"/>
    <w:rsid w:val="000B766C"/>
    <w:rsid w:val="000C165A"/>
    <w:rsid w:val="000C1D1D"/>
    <w:rsid w:val="000C2045"/>
    <w:rsid w:val="000C2636"/>
    <w:rsid w:val="000C2E19"/>
    <w:rsid w:val="000C3121"/>
    <w:rsid w:val="000C5700"/>
    <w:rsid w:val="000C5CAD"/>
    <w:rsid w:val="000C6B73"/>
    <w:rsid w:val="000C7E7B"/>
    <w:rsid w:val="000D0016"/>
    <w:rsid w:val="000D0862"/>
    <w:rsid w:val="000D0D07"/>
    <w:rsid w:val="000D25CE"/>
    <w:rsid w:val="000D2839"/>
    <w:rsid w:val="000D2DF2"/>
    <w:rsid w:val="000D4530"/>
    <w:rsid w:val="000D46C0"/>
    <w:rsid w:val="000D4797"/>
    <w:rsid w:val="000D7786"/>
    <w:rsid w:val="000D7817"/>
    <w:rsid w:val="000E0527"/>
    <w:rsid w:val="000E115F"/>
    <w:rsid w:val="000E154A"/>
    <w:rsid w:val="000E1E92"/>
    <w:rsid w:val="000E3063"/>
    <w:rsid w:val="000E3369"/>
    <w:rsid w:val="000E6DD4"/>
    <w:rsid w:val="000E7797"/>
    <w:rsid w:val="000F06D6"/>
    <w:rsid w:val="000F0EB1"/>
    <w:rsid w:val="000F1106"/>
    <w:rsid w:val="000F2F32"/>
    <w:rsid w:val="000F32B8"/>
    <w:rsid w:val="000F3BE9"/>
    <w:rsid w:val="000F3F6C"/>
    <w:rsid w:val="000F6144"/>
    <w:rsid w:val="000F6DF3"/>
    <w:rsid w:val="000F75E8"/>
    <w:rsid w:val="001005FF"/>
    <w:rsid w:val="00100D83"/>
    <w:rsid w:val="001018DA"/>
    <w:rsid w:val="00101F86"/>
    <w:rsid w:val="00102422"/>
    <w:rsid w:val="00103F08"/>
    <w:rsid w:val="00103FA2"/>
    <w:rsid w:val="00104D30"/>
    <w:rsid w:val="00105194"/>
    <w:rsid w:val="00105AD3"/>
    <w:rsid w:val="001062FB"/>
    <w:rsid w:val="001063E6"/>
    <w:rsid w:val="00107222"/>
    <w:rsid w:val="00111A74"/>
    <w:rsid w:val="00112497"/>
    <w:rsid w:val="00113CF4"/>
    <w:rsid w:val="00114FA2"/>
    <w:rsid w:val="001153EA"/>
    <w:rsid w:val="00115643"/>
    <w:rsid w:val="00116765"/>
    <w:rsid w:val="00117C64"/>
    <w:rsid w:val="0012077F"/>
    <w:rsid w:val="001210DF"/>
    <w:rsid w:val="001219F5"/>
    <w:rsid w:val="00121A20"/>
    <w:rsid w:val="001228B8"/>
    <w:rsid w:val="0012377F"/>
    <w:rsid w:val="00124314"/>
    <w:rsid w:val="001264E8"/>
    <w:rsid w:val="00126B4A"/>
    <w:rsid w:val="001300BF"/>
    <w:rsid w:val="00132861"/>
    <w:rsid w:val="00132FD0"/>
    <w:rsid w:val="00133126"/>
    <w:rsid w:val="0013371E"/>
    <w:rsid w:val="001337A1"/>
    <w:rsid w:val="001344C0"/>
    <w:rsid w:val="001346FA"/>
    <w:rsid w:val="00135252"/>
    <w:rsid w:val="001356CB"/>
    <w:rsid w:val="00135951"/>
    <w:rsid w:val="00136056"/>
    <w:rsid w:val="00137AB5"/>
    <w:rsid w:val="00137F0B"/>
    <w:rsid w:val="001414CA"/>
    <w:rsid w:val="00143931"/>
    <w:rsid w:val="00145107"/>
    <w:rsid w:val="001464AE"/>
    <w:rsid w:val="00151E23"/>
    <w:rsid w:val="001521C9"/>
    <w:rsid w:val="001526E0"/>
    <w:rsid w:val="00152AE3"/>
    <w:rsid w:val="00153688"/>
    <w:rsid w:val="00154A19"/>
    <w:rsid w:val="001551B5"/>
    <w:rsid w:val="00155C20"/>
    <w:rsid w:val="00157A38"/>
    <w:rsid w:val="00160A08"/>
    <w:rsid w:val="00160A79"/>
    <w:rsid w:val="001628AE"/>
    <w:rsid w:val="00163FF5"/>
    <w:rsid w:val="0016412D"/>
    <w:rsid w:val="001656A0"/>
    <w:rsid w:val="001659C1"/>
    <w:rsid w:val="0016729A"/>
    <w:rsid w:val="00170479"/>
    <w:rsid w:val="00171420"/>
    <w:rsid w:val="0017166F"/>
    <w:rsid w:val="00171A2F"/>
    <w:rsid w:val="00172641"/>
    <w:rsid w:val="00173159"/>
    <w:rsid w:val="00173A8E"/>
    <w:rsid w:val="0017502C"/>
    <w:rsid w:val="00176261"/>
    <w:rsid w:val="00176797"/>
    <w:rsid w:val="00176E85"/>
    <w:rsid w:val="00177C7B"/>
    <w:rsid w:val="0018044F"/>
    <w:rsid w:val="0018093A"/>
    <w:rsid w:val="0018143F"/>
    <w:rsid w:val="001814BE"/>
    <w:rsid w:val="001819D9"/>
    <w:rsid w:val="00181E01"/>
    <w:rsid w:val="00181FF8"/>
    <w:rsid w:val="001823D7"/>
    <w:rsid w:val="00183585"/>
    <w:rsid w:val="00183F2A"/>
    <w:rsid w:val="0018403C"/>
    <w:rsid w:val="001872A8"/>
    <w:rsid w:val="00190AC1"/>
    <w:rsid w:val="0019228D"/>
    <w:rsid w:val="001922A6"/>
    <w:rsid w:val="0019295E"/>
    <w:rsid w:val="0019341A"/>
    <w:rsid w:val="00195057"/>
    <w:rsid w:val="001953A3"/>
    <w:rsid w:val="00196232"/>
    <w:rsid w:val="00197DF9"/>
    <w:rsid w:val="001A1987"/>
    <w:rsid w:val="001A2564"/>
    <w:rsid w:val="001A2D0A"/>
    <w:rsid w:val="001A31F5"/>
    <w:rsid w:val="001A5586"/>
    <w:rsid w:val="001A6173"/>
    <w:rsid w:val="001A6CBA"/>
    <w:rsid w:val="001B0D22"/>
    <w:rsid w:val="001B0D97"/>
    <w:rsid w:val="001B2CEB"/>
    <w:rsid w:val="001B4E85"/>
    <w:rsid w:val="001B5A5D"/>
    <w:rsid w:val="001B6FE0"/>
    <w:rsid w:val="001B7BE2"/>
    <w:rsid w:val="001C1620"/>
    <w:rsid w:val="001C197B"/>
    <w:rsid w:val="001C1CE5"/>
    <w:rsid w:val="001C3708"/>
    <w:rsid w:val="001C3D2A"/>
    <w:rsid w:val="001C46EC"/>
    <w:rsid w:val="001C4FD1"/>
    <w:rsid w:val="001C5739"/>
    <w:rsid w:val="001C6ED2"/>
    <w:rsid w:val="001C7100"/>
    <w:rsid w:val="001D07F0"/>
    <w:rsid w:val="001D2575"/>
    <w:rsid w:val="001D31F6"/>
    <w:rsid w:val="001D51BA"/>
    <w:rsid w:val="001D5254"/>
    <w:rsid w:val="001D53E7"/>
    <w:rsid w:val="001D54E9"/>
    <w:rsid w:val="001D6342"/>
    <w:rsid w:val="001D6371"/>
    <w:rsid w:val="001D6D53"/>
    <w:rsid w:val="001E0BD2"/>
    <w:rsid w:val="001E28D0"/>
    <w:rsid w:val="001E341F"/>
    <w:rsid w:val="001E58E2"/>
    <w:rsid w:val="001E7AED"/>
    <w:rsid w:val="001F1A90"/>
    <w:rsid w:val="001F332F"/>
    <w:rsid w:val="001F3916"/>
    <w:rsid w:val="001F54C5"/>
    <w:rsid w:val="001F58DC"/>
    <w:rsid w:val="001F6101"/>
    <w:rsid w:val="001F662C"/>
    <w:rsid w:val="001F7074"/>
    <w:rsid w:val="00200490"/>
    <w:rsid w:val="0020071E"/>
    <w:rsid w:val="002007C4"/>
    <w:rsid w:val="00200C96"/>
    <w:rsid w:val="00201EFF"/>
    <w:rsid w:val="00201F3A"/>
    <w:rsid w:val="00202590"/>
    <w:rsid w:val="002026C0"/>
    <w:rsid w:val="00203F96"/>
    <w:rsid w:val="002069B2"/>
    <w:rsid w:val="00206BC1"/>
    <w:rsid w:val="00207FA3"/>
    <w:rsid w:val="0021020A"/>
    <w:rsid w:val="00212A1F"/>
    <w:rsid w:val="002130D6"/>
    <w:rsid w:val="002134C6"/>
    <w:rsid w:val="00214DA8"/>
    <w:rsid w:val="00214E87"/>
    <w:rsid w:val="00215423"/>
    <w:rsid w:val="002158FA"/>
    <w:rsid w:val="00216298"/>
    <w:rsid w:val="00220600"/>
    <w:rsid w:val="002224C5"/>
    <w:rsid w:val="002224DB"/>
    <w:rsid w:val="00223FCB"/>
    <w:rsid w:val="00224D9E"/>
    <w:rsid w:val="002252C3"/>
    <w:rsid w:val="00225C54"/>
    <w:rsid w:val="00227255"/>
    <w:rsid w:val="0023066A"/>
    <w:rsid w:val="00230765"/>
    <w:rsid w:val="00230D18"/>
    <w:rsid w:val="00231059"/>
    <w:rsid w:val="002314F4"/>
    <w:rsid w:val="002319E4"/>
    <w:rsid w:val="00233A7A"/>
    <w:rsid w:val="002345BC"/>
    <w:rsid w:val="00235207"/>
    <w:rsid w:val="00235632"/>
    <w:rsid w:val="00235872"/>
    <w:rsid w:val="002361E3"/>
    <w:rsid w:val="00236D9D"/>
    <w:rsid w:val="002379D6"/>
    <w:rsid w:val="00241559"/>
    <w:rsid w:val="00241656"/>
    <w:rsid w:val="00242434"/>
    <w:rsid w:val="002425A5"/>
    <w:rsid w:val="0024325B"/>
    <w:rsid w:val="002435B3"/>
    <w:rsid w:val="00243E08"/>
    <w:rsid w:val="00244D6A"/>
    <w:rsid w:val="002458EB"/>
    <w:rsid w:val="002500C8"/>
    <w:rsid w:val="00250B72"/>
    <w:rsid w:val="00252112"/>
    <w:rsid w:val="0025350B"/>
    <w:rsid w:val="002539F6"/>
    <w:rsid w:val="0025446F"/>
    <w:rsid w:val="00257543"/>
    <w:rsid w:val="002610DE"/>
    <w:rsid w:val="002617E7"/>
    <w:rsid w:val="00261CDD"/>
    <w:rsid w:val="00262502"/>
    <w:rsid w:val="00263DE9"/>
    <w:rsid w:val="00264228"/>
    <w:rsid w:val="00264334"/>
    <w:rsid w:val="0026473E"/>
    <w:rsid w:val="0026594F"/>
    <w:rsid w:val="00266214"/>
    <w:rsid w:val="00266CAB"/>
    <w:rsid w:val="00267ADF"/>
    <w:rsid w:val="00267C38"/>
    <w:rsid w:val="00267C83"/>
    <w:rsid w:val="002702E0"/>
    <w:rsid w:val="00270E6B"/>
    <w:rsid w:val="0027144F"/>
    <w:rsid w:val="00271813"/>
    <w:rsid w:val="00271F3A"/>
    <w:rsid w:val="00272698"/>
    <w:rsid w:val="002727D8"/>
    <w:rsid w:val="002728EA"/>
    <w:rsid w:val="00273278"/>
    <w:rsid w:val="002737F4"/>
    <w:rsid w:val="00273FC4"/>
    <w:rsid w:val="002750D5"/>
    <w:rsid w:val="002805F5"/>
    <w:rsid w:val="00280751"/>
    <w:rsid w:val="002810BE"/>
    <w:rsid w:val="002813A3"/>
    <w:rsid w:val="00281F4E"/>
    <w:rsid w:val="002820D3"/>
    <w:rsid w:val="0028213A"/>
    <w:rsid w:val="0028280A"/>
    <w:rsid w:val="00282B02"/>
    <w:rsid w:val="00285649"/>
    <w:rsid w:val="00286ACD"/>
    <w:rsid w:val="00287838"/>
    <w:rsid w:val="002907B5"/>
    <w:rsid w:val="00290F38"/>
    <w:rsid w:val="002927A3"/>
    <w:rsid w:val="002929F9"/>
    <w:rsid w:val="00292EB7"/>
    <w:rsid w:val="00294760"/>
    <w:rsid w:val="002954A4"/>
    <w:rsid w:val="00296227"/>
    <w:rsid w:val="00296F44"/>
    <w:rsid w:val="0029777D"/>
    <w:rsid w:val="002A055E"/>
    <w:rsid w:val="002A1D4E"/>
    <w:rsid w:val="002A2869"/>
    <w:rsid w:val="002A3BFE"/>
    <w:rsid w:val="002A6704"/>
    <w:rsid w:val="002A7D9A"/>
    <w:rsid w:val="002B0449"/>
    <w:rsid w:val="002B105C"/>
    <w:rsid w:val="002B14CF"/>
    <w:rsid w:val="002B24D6"/>
    <w:rsid w:val="002B399A"/>
    <w:rsid w:val="002B4908"/>
    <w:rsid w:val="002B4A84"/>
    <w:rsid w:val="002B4D2B"/>
    <w:rsid w:val="002B5CF9"/>
    <w:rsid w:val="002B7666"/>
    <w:rsid w:val="002C2663"/>
    <w:rsid w:val="002C3B8C"/>
    <w:rsid w:val="002C3BE0"/>
    <w:rsid w:val="002C4023"/>
    <w:rsid w:val="002C41E6"/>
    <w:rsid w:val="002C74E7"/>
    <w:rsid w:val="002D071A"/>
    <w:rsid w:val="002D2EF5"/>
    <w:rsid w:val="002D34B2"/>
    <w:rsid w:val="002D3B6F"/>
    <w:rsid w:val="002D3C4F"/>
    <w:rsid w:val="002D48B0"/>
    <w:rsid w:val="002D5272"/>
    <w:rsid w:val="002D5B37"/>
    <w:rsid w:val="002D602D"/>
    <w:rsid w:val="002D7637"/>
    <w:rsid w:val="002E0107"/>
    <w:rsid w:val="002E03DD"/>
    <w:rsid w:val="002E0681"/>
    <w:rsid w:val="002E17F2"/>
    <w:rsid w:val="002E1909"/>
    <w:rsid w:val="002E2175"/>
    <w:rsid w:val="002E7CAE"/>
    <w:rsid w:val="002F0758"/>
    <w:rsid w:val="002F1C38"/>
    <w:rsid w:val="002F2771"/>
    <w:rsid w:val="002F28C2"/>
    <w:rsid w:val="002F37A9"/>
    <w:rsid w:val="002F689F"/>
    <w:rsid w:val="003008BA"/>
    <w:rsid w:val="00301AE8"/>
    <w:rsid w:val="00301CE6"/>
    <w:rsid w:val="0030256B"/>
    <w:rsid w:val="0030501F"/>
    <w:rsid w:val="0030676C"/>
    <w:rsid w:val="00306B1E"/>
    <w:rsid w:val="00306F66"/>
    <w:rsid w:val="0030711E"/>
    <w:rsid w:val="00307406"/>
    <w:rsid w:val="00307BA1"/>
    <w:rsid w:val="00310098"/>
    <w:rsid w:val="0031030D"/>
    <w:rsid w:val="00311702"/>
    <w:rsid w:val="00311E82"/>
    <w:rsid w:val="00312E07"/>
    <w:rsid w:val="00313FD6"/>
    <w:rsid w:val="003143BD"/>
    <w:rsid w:val="00315363"/>
    <w:rsid w:val="00320172"/>
    <w:rsid w:val="003203ED"/>
    <w:rsid w:val="003205A9"/>
    <w:rsid w:val="0032067A"/>
    <w:rsid w:val="00322C9F"/>
    <w:rsid w:val="0032328E"/>
    <w:rsid w:val="00324D23"/>
    <w:rsid w:val="003252B6"/>
    <w:rsid w:val="00325CCA"/>
    <w:rsid w:val="0032665C"/>
    <w:rsid w:val="003276D5"/>
    <w:rsid w:val="00327D96"/>
    <w:rsid w:val="00331006"/>
    <w:rsid w:val="00331751"/>
    <w:rsid w:val="00333CEB"/>
    <w:rsid w:val="00334579"/>
    <w:rsid w:val="00335858"/>
    <w:rsid w:val="00335AE8"/>
    <w:rsid w:val="00336BDA"/>
    <w:rsid w:val="00337606"/>
    <w:rsid w:val="00342566"/>
    <w:rsid w:val="003427CA"/>
    <w:rsid w:val="00342BD7"/>
    <w:rsid w:val="003431F6"/>
    <w:rsid w:val="0034359B"/>
    <w:rsid w:val="00343E64"/>
    <w:rsid w:val="00346DB5"/>
    <w:rsid w:val="003476E8"/>
    <w:rsid w:val="003477B1"/>
    <w:rsid w:val="00347A1A"/>
    <w:rsid w:val="003503EA"/>
    <w:rsid w:val="0035294B"/>
    <w:rsid w:val="00353051"/>
    <w:rsid w:val="003537A7"/>
    <w:rsid w:val="00355149"/>
    <w:rsid w:val="00356DF3"/>
    <w:rsid w:val="00357380"/>
    <w:rsid w:val="003602D9"/>
    <w:rsid w:val="003604CE"/>
    <w:rsid w:val="003606C4"/>
    <w:rsid w:val="00363D92"/>
    <w:rsid w:val="00364013"/>
    <w:rsid w:val="00365160"/>
    <w:rsid w:val="00367B73"/>
    <w:rsid w:val="00370E47"/>
    <w:rsid w:val="00371738"/>
    <w:rsid w:val="003742AC"/>
    <w:rsid w:val="003744D0"/>
    <w:rsid w:val="00374FBE"/>
    <w:rsid w:val="003750F8"/>
    <w:rsid w:val="00377CE1"/>
    <w:rsid w:val="00382C50"/>
    <w:rsid w:val="00382E0D"/>
    <w:rsid w:val="0038557E"/>
    <w:rsid w:val="00385BF0"/>
    <w:rsid w:val="00385D16"/>
    <w:rsid w:val="003861D3"/>
    <w:rsid w:val="00387639"/>
    <w:rsid w:val="00390FFA"/>
    <w:rsid w:val="003927E9"/>
    <w:rsid w:val="003939FF"/>
    <w:rsid w:val="00393EC4"/>
    <w:rsid w:val="00394334"/>
    <w:rsid w:val="0039566F"/>
    <w:rsid w:val="003A2223"/>
    <w:rsid w:val="003A26FC"/>
    <w:rsid w:val="003A2A0F"/>
    <w:rsid w:val="003A2F60"/>
    <w:rsid w:val="003A45A1"/>
    <w:rsid w:val="003A4967"/>
    <w:rsid w:val="003A5B0A"/>
    <w:rsid w:val="003A6BAC"/>
    <w:rsid w:val="003A70A4"/>
    <w:rsid w:val="003A7D71"/>
    <w:rsid w:val="003A7EF3"/>
    <w:rsid w:val="003B0ED0"/>
    <w:rsid w:val="003B159C"/>
    <w:rsid w:val="003B369F"/>
    <w:rsid w:val="003B36A3"/>
    <w:rsid w:val="003B3FE6"/>
    <w:rsid w:val="003B44B8"/>
    <w:rsid w:val="003B49B2"/>
    <w:rsid w:val="003B55DD"/>
    <w:rsid w:val="003B64BB"/>
    <w:rsid w:val="003B74AF"/>
    <w:rsid w:val="003B7C14"/>
    <w:rsid w:val="003B7FE5"/>
    <w:rsid w:val="003C11C8"/>
    <w:rsid w:val="003C2702"/>
    <w:rsid w:val="003C3038"/>
    <w:rsid w:val="003C53DA"/>
    <w:rsid w:val="003C6E5E"/>
    <w:rsid w:val="003C7806"/>
    <w:rsid w:val="003D102C"/>
    <w:rsid w:val="003D109F"/>
    <w:rsid w:val="003D2478"/>
    <w:rsid w:val="003D3C45"/>
    <w:rsid w:val="003D5B1F"/>
    <w:rsid w:val="003E0E43"/>
    <w:rsid w:val="003E0FDB"/>
    <w:rsid w:val="003E15FA"/>
    <w:rsid w:val="003E1D53"/>
    <w:rsid w:val="003E22F0"/>
    <w:rsid w:val="003E26E9"/>
    <w:rsid w:val="003E2F26"/>
    <w:rsid w:val="003E3781"/>
    <w:rsid w:val="003E4489"/>
    <w:rsid w:val="003E453F"/>
    <w:rsid w:val="003E5320"/>
    <w:rsid w:val="003E55E4"/>
    <w:rsid w:val="003E74E3"/>
    <w:rsid w:val="003E76AB"/>
    <w:rsid w:val="003E7A3E"/>
    <w:rsid w:val="003F05C7"/>
    <w:rsid w:val="003F1B0D"/>
    <w:rsid w:val="003F1FBF"/>
    <w:rsid w:val="003F2411"/>
    <w:rsid w:val="003F2CD4"/>
    <w:rsid w:val="003F4288"/>
    <w:rsid w:val="003F4A96"/>
    <w:rsid w:val="003F5AF2"/>
    <w:rsid w:val="003F6BBE"/>
    <w:rsid w:val="004000E8"/>
    <w:rsid w:val="00401B01"/>
    <w:rsid w:val="00402DFE"/>
    <w:rsid w:val="00402E2B"/>
    <w:rsid w:val="0040512B"/>
    <w:rsid w:val="00405735"/>
    <w:rsid w:val="00405CA5"/>
    <w:rsid w:val="00407CD3"/>
    <w:rsid w:val="00410134"/>
    <w:rsid w:val="00410B72"/>
    <w:rsid w:val="00410F18"/>
    <w:rsid w:val="0041112C"/>
    <w:rsid w:val="0041237B"/>
    <w:rsid w:val="0041263E"/>
    <w:rsid w:val="00412E85"/>
    <w:rsid w:val="00413396"/>
    <w:rsid w:val="00413520"/>
    <w:rsid w:val="00413AAC"/>
    <w:rsid w:val="00413E5D"/>
    <w:rsid w:val="00413E92"/>
    <w:rsid w:val="00415504"/>
    <w:rsid w:val="0041796A"/>
    <w:rsid w:val="00417B53"/>
    <w:rsid w:val="00420BF8"/>
    <w:rsid w:val="00421105"/>
    <w:rsid w:val="00421424"/>
    <w:rsid w:val="004218C0"/>
    <w:rsid w:val="00422AA4"/>
    <w:rsid w:val="00422F20"/>
    <w:rsid w:val="0042395E"/>
    <w:rsid w:val="004242F4"/>
    <w:rsid w:val="004262C9"/>
    <w:rsid w:val="00426830"/>
    <w:rsid w:val="00427248"/>
    <w:rsid w:val="004323B9"/>
    <w:rsid w:val="0043320C"/>
    <w:rsid w:val="0043324D"/>
    <w:rsid w:val="00433E4B"/>
    <w:rsid w:val="00435729"/>
    <w:rsid w:val="00437447"/>
    <w:rsid w:val="00440EF5"/>
    <w:rsid w:val="00441A92"/>
    <w:rsid w:val="00441D5B"/>
    <w:rsid w:val="004431DC"/>
    <w:rsid w:val="004437E0"/>
    <w:rsid w:val="00443810"/>
    <w:rsid w:val="00444F56"/>
    <w:rsid w:val="00445414"/>
    <w:rsid w:val="00446488"/>
    <w:rsid w:val="00447151"/>
    <w:rsid w:val="004500EB"/>
    <w:rsid w:val="00450F39"/>
    <w:rsid w:val="0045102C"/>
    <w:rsid w:val="004517AA"/>
    <w:rsid w:val="00452B74"/>
    <w:rsid w:val="00452CAC"/>
    <w:rsid w:val="00453294"/>
    <w:rsid w:val="00453573"/>
    <w:rsid w:val="0045430D"/>
    <w:rsid w:val="00454394"/>
    <w:rsid w:val="00454425"/>
    <w:rsid w:val="00454C8A"/>
    <w:rsid w:val="00454E4E"/>
    <w:rsid w:val="00454FB6"/>
    <w:rsid w:val="00455850"/>
    <w:rsid w:val="004558F7"/>
    <w:rsid w:val="00457565"/>
    <w:rsid w:val="00457B71"/>
    <w:rsid w:val="0046022D"/>
    <w:rsid w:val="004641CF"/>
    <w:rsid w:val="00466478"/>
    <w:rsid w:val="004669E2"/>
    <w:rsid w:val="00466C08"/>
    <w:rsid w:val="00467504"/>
    <w:rsid w:val="00470C31"/>
    <w:rsid w:val="004711B1"/>
    <w:rsid w:val="00471DE0"/>
    <w:rsid w:val="004734D0"/>
    <w:rsid w:val="00473B3B"/>
    <w:rsid w:val="004744A4"/>
    <w:rsid w:val="0047556B"/>
    <w:rsid w:val="00477768"/>
    <w:rsid w:val="0048130C"/>
    <w:rsid w:val="00481655"/>
    <w:rsid w:val="00482A52"/>
    <w:rsid w:val="00484D82"/>
    <w:rsid w:val="00485689"/>
    <w:rsid w:val="00485EA0"/>
    <w:rsid w:val="00486467"/>
    <w:rsid w:val="00486474"/>
    <w:rsid w:val="00492BC5"/>
    <w:rsid w:val="004964F1"/>
    <w:rsid w:val="00496B2A"/>
    <w:rsid w:val="004973E2"/>
    <w:rsid w:val="004A16BC"/>
    <w:rsid w:val="004A1718"/>
    <w:rsid w:val="004A1EB6"/>
    <w:rsid w:val="004A2B94"/>
    <w:rsid w:val="004A4244"/>
    <w:rsid w:val="004A45F7"/>
    <w:rsid w:val="004A61F5"/>
    <w:rsid w:val="004A6221"/>
    <w:rsid w:val="004A7F45"/>
    <w:rsid w:val="004B1489"/>
    <w:rsid w:val="004B1C55"/>
    <w:rsid w:val="004B2CB8"/>
    <w:rsid w:val="004B6F6A"/>
    <w:rsid w:val="004B7C0C"/>
    <w:rsid w:val="004C27DD"/>
    <w:rsid w:val="004C3898"/>
    <w:rsid w:val="004C5F18"/>
    <w:rsid w:val="004D1DDD"/>
    <w:rsid w:val="004D1E22"/>
    <w:rsid w:val="004D2527"/>
    <w:rsid w:val="004D36B1"/>
    <w:rsid w:val="004D7EBD"/>
    <w:rsid w:val="004E04A3"/>
    <w:rsid w:val="004E1064"/>
    <w:rsid w:val="004E16F5"/>
    <w:rsid w:val="004E2680"/>
    <w:rsid w:val="004E28F9"/>
    <w:rsid w:val="004E2EF3"/>
    <w:rsid w:val="004E462E"/>
    <w:rsid w:val="004E56DC"/>
    <w:rsid w:val="004E76F4"/>
    <w:rsid w:val="004F0B4E"/>
    <w:rsid w:val="004F0B6C"/>
    <w:rsid w:val="004F2078"/>
    <w:rsid w:val="004F2D49"/>
    <w:rsid w:val="004F425D"/>
    <w:rsid w:val="004F4406"/>
    <w:rsid w:val="004F4DA3"/>
    <w:rsid w:val="00500A9D"/>
    <w:rsid w:val="00501050"/>
    <w:rsid w:val="00505206"/>
    <w:rsid w:val="005053A8"/>
    <w:rsid w:val="00505DDE"/>
    <w:rsid w:val="00506557"/>
    <w:rsid w:val="0050677A"/>
    <w:rsid w:val="0050697A"/>
    <w:rsid w:val="005071D0"/>
    <w:rsid w:val="005108D8"/>
    <w:rsid w:val="0051152C"/>
    <w:rsid w:val="005116F9"/>
    <w:rsid w:val="005153A7"/>
    <w:rsid w:val="00515598"/>
    <w:rsid w:val="005219CF"/>
    <w:rsid w:val="00523451"/>
    <w:rsid w:val="005255C3"/>
    <w:rsid w:val="00527D4D"/>
    <w:rsid w:val="00531A09"/>
    <w:rsid w:val="005342F3"/>
    <w:rsid w:val="00534671"/>
    <w:rsid w:val="00534B59"/>
    <w:rsid w:val="00534D7A"/>
    <w:rsid w:val="00536759"/>
    <w:rsid w:val="005379AA"/>
    <w:rsid w:val="00537C62"/>
    <w:rsid w:val="0054311E"/>
    <w:rsid w:val="00544A37"/>
    <w:rsid w:val="00546970"/>
    <w:rsid w:val="00547E16"/>
    <w:rsid w:val="00550F4F"/>
    <w:rsid w:val="00552C1B"/>
    <w:rsid w:val="00552CA6"/>
    <w:rsid w:val="00552EB0"/>
    <w:rsid w:val="00554A7A"/>
    <w:rsid w:val="00554E19"/>
    <w:rsid w:val="00554ED0"/>
    <w:rsid w:val="00556A08"/>
    <w:rsid w:val="005573D0"/>
    <w:rsid w:val="0056121F"/>
    <w:rsid w:val="00564882"/>
    <w:rsid w:val="0056506B"/>
    <w:rsid w:val="005656CF"/>
    <w:rsid w:val="00565B70"/>
    <w:rsid w:val="00566166"/>
    <w:rsid w:val="00572505"/>
    <w:rsid w:val="00572571"/>
    <w:rsid w:val="00572A2C"/>
    <w:rsid w:val="0057392B"/>
    <w:rsid w:val="00573FF2"/>
    <w:rsid w:val="005752E0"/>
    <w:rsid w:val="00576109"/>
    <w:rsid w:val="00576CBD"/>
    <w:rsid w:val="00577448"/>
    <w:rsid w:val="00577E23"/>
    <w:rsid w:val="00577ECA"/>
    <w:rsid w:val="0058049C"/>
    <w:rsid w:val="005814BC"/>
    <w:rsid w:val="00582174"/>
    <w:rsid w:val="00582809"/>
    <w:rsid w:val="005836A8"/>
    <w:rsid w:val="0058472A"/>
    <w:rsid w:val="00584AEB"/>
    <w:rsid w:val="00584AFA"/>
    <w:rsid w:val="0058621E"/>
    <w:rsid w:val="0058798C"/>
    <w:rsid w:val="005900FA"/>
    <w:rsid w:val="00590D3E"/>
    <w:rsid w:val="0059230C"/>
    <w:rsid w:val="005926E9"/>
    <w:rsid w:val="005935A4"/>
    <w:rsid w:val="005948C2"/>
    <w:rsid w:val="00594C9C"/>
    <w:rsid w:val="00595477"/>
    <w:rsid w:val="00595DCA"/>
    <w:rsid w:val="0059779B"/>
    <w:rsid w:val="00597B12"/>
    <w:rsid w:val="005A209A"/>
    <w:rsid w:val="005A48D7"/>
    <w:rsid w:val="005A5DB6"/>
    <w:rsid w:val="005A605D"/>
    <w:rsid w:val="005A6299"/>
    <w:rsid w:val="005A662D"/>
    <w:rsid w:val="005B0C05"/>
    <w:rsid w:val="005B1409"/>
    <w:rsid w:val="005B262A"/>
    <w:rsid w:val="005B339C"/>
    <w:rsid w:val="005B35D7"/>
    <w:rsid w:val="005B392A"/>
    <w:rsid w:val="005B39F7"/>
    <w:rsid w:val="005B3AA3"/>
    <w:rsid w:val="005B64AE"/>
    <w:rsid w:val="005B6F83"/>
    <w:rsid w:val="005B71CC"/>
    <w:rsid w:val="005B72B3"/>
    <w:rsid w:val="005C204A"/>
    <w:rsid w:val="005C2907"/>
    <w:rsid w:val="005C3CF6"/>
    <w:rsid w:val="005C6765"/>
    <w:rsid w:val="005C74FB"/>
    <w:rsid w:val="005C7E34"/>
    <w:rsid w:val="005D04E1"/>
    <w:rsid w:val="005D0E25"/>
    <w:rsid w:val="005D1602"/>
    <w:rsid w:val="005D46E4"/>
    <w:rsid w:val="005E04CC"/>
    <w:rsid w:val="005E051D"/>
    <w:rsid w:val="005E157A"/>
    <w:rsid w:val="005E341A"/>
    <w:rsid w:val="005E385F"/>
    <w:rsid w:val="005E5B81"/>
    <w:rsid w:val="005E6C8F"/>
    <w:rsid w:val="005F2CB1"/>
    <w:rsid w:val="005F3025"/>
    <w:rsid w:val="005F362F"/>
    <w:rsid w:val="005F5EFA"/>
    <w:rsid w:val="005F618C"/>
    <w:rsid w:val="005F70BD"/>
    <w:rsid w:val="005F7531"/>
    <w:rsid w:val="005F7BC8"/>
    <w:rsid w:val="00601207"/>
    <w:rsid w:val="006017BA"/>
    <w:rsid w:val="00602420"/>
    <w:rsid w:val="0060283C"/>
    <w:rsid w:val="00602F57"/>
    <w:rsid w:val="0060326B"/>
    <w:rsid w:val="00604F14"/>
    <w:rsid w:val="00605B65"/>
    <w:rsid w:val="00606E93"/>
    <w:rsid w:val="00610D5A"/>
    <w:rsid w:val="00610EC6"/>
    <w:rsid w:val="006119E9"/>
    <w:rsid w:val="00611B83"/>
    <w:rsid w:val="006127A4"/>
    <w:rsid w:val="00612FAB"/>
    <w:rsid w:val="00613257"/>
    <w:rsid w:val="00613BC4"/>
    <w:rsid w:val="00620A71"/>
    <w:rsid w:val="00620D80"/>
    <w:rsid w:val="006234A6"/>
    <w:rsid w:val="00624C44"/>
    <w:rsid w:val="006256C2"/>
    <w:rsid w:val="006259EA"/>
    <w:rsid w:val="00630001"/>
    <w:rsid w:val="006311B3"/>
    <w:rsid w:val="00631467"/>
    <w:rsid w:val="0063284C"/>
    <w:rsid w:val="00635371"/>
    <w:rsid w:val="00636398"/>
    <w:rsid w:val="006368D3"/>
    <w:rsid w:val="006377EC"/>
    <w:rsid w:val="0064151F"/>
    <w:rsid w:val="00641533"/>
    <w:rsid w:val="0064208D"/>
    <w:rsid w:val="00643475"/>
    <w:rsid w:val="0064396A"/>
    <w:rsid w:val="0064624E"/>
    <w:rsid w:val="006469E2"/>
    <w:rsid w:val="00647300"/>
    <w:rsid w:val="00650AB9"/>
    <w:rsid w:val="00650D53"/>
    <w:rsid w:val="00652D8F"/>
    <w:rsid w:val="00655733"/>
    <w:rsid w:val="00655ACD"/>
    <w:rsid w:val="00655C8C"/>
    <w:rsid w:val="00656A92"/>
    <w:rsid w:val="00656DDE"/>
    <w:rsid w:val="00657DB0"/>
    <w:rsid w:val="0066011D"/>
    <w:rsid w:val="006607C0"/>
    <w:rsid w:val="00660CDC"/>
    <w:rsid w:val="006613A6"/>
    <w:rsid w:val="006627A2"/>
    <w:rsid w:val="006634E6"/>
    <w:rsid w:val="00663A6C"/>
    <w:rsid w:val="006655EE"/>
    <w:rsid w:val="00667EE7"/>
    <w:rsid w:val="00670922"/>
    <w:rsid w:val="00670BE1"/>
    <w:rsid w:val="0067218F"/>
    <w:rsid w:val="00673934"/>
    <w:rsid w:val="006741F2"/>
    <w:rsid w:val="00674579"/>
    <w:rsid w:val="00674CC3"/>
    <w:rsid w:val="00674CDF"/>
    <w:rsid w:val="0067542C"/>
    <w:rsid w:val="00675C72"/>
    <w:rsid w:val="006771F9"/>
    <w:rsid w:val="006776D7"/>
    <w:rsid w:val="00680B7F"/>
    <w:rsid w:val="00681003"/>
    <w:rsid w:val="006817C9"/>
    <w:rsid w:val="00682F27"/>
    <w:rsid w:val="0068358B"/>
    <w:rsid w:val="00683ECE"/>
    <w:rsid w:val="006846B5"/>
    <w:rsid w:val="00687BDF"/>
    <w:rsid w:val="00690CD6"/>
    <w:rsid w:val="00690F55"/>
    <w:rsid w:val="00692454"/>
    <w:rsid w:val="00693B95"/>
    <w:rsid w:val="00693EF8"/>
    <w:rsid w:val="006947F0"/>
    <w:rsid w:val="0069480E"/>
    <w:rsid w:val="00695ACB"/>
    <w:rsid w:val="00695FC2"/>
    <w:rsid w:val="00696949"/>
    <w:rsid w:val="00697052"/>
    <w:rsid w:val="006A46FB"/>
    <w:rsid w:val="006A4880"/>
    <w:rsid w:val="006A5E28"/>
    <w:rsid w:val="006A6916"/>
    <w:rsid w:val="006A697B"/>
    <w:rsid w:val="006A7953"/>
    <w:rsid w:val="006A7AFF"/>
    <w:rsid w:val="006B0EBF"/>
    <w:rsid w:val="006B1816"/>
    <w:rsid w:val="006B1FA2"/>
    <w:rsid w:val="006B2099"/>
    <w:rsid w:val="006B4233"/>
    <w:rsid w:val="006B4C8D"/>
    <w:rsid w:val="006B50CF"/>
    <w:rsid w:val="006C025D"/>
    <w:rsid w:val="006C03B8"/>
    <w:rsid w:val="006C0C36"/>
    <w:rsid w:val="006C1D9A"/>
    <w:rsid w:val="006C269A"/>
    <w:rsid w:val="006C2FD4"/>
    <w:rsid w:val="006C5BAF"/>
    <w:rsid w:val="006C5EC9"/>
    <w:rsid w:val="006C6059"/>
    <w:rsid w:val="006C7522"/>
    <w:rsid w:val="006C7BDF"/>
    <w:rsid w:val="006D0942"/>
    <w:rsid w:val="006D22EF"/>
    <w:rsid w:val="006D39B4"/>
    <w:rsid w:val="006D446A"/>
    <w:rsid w:val="006D6292"/>
    <w:rsid w:val="006D6928"/>
    <w:rsid w:val="006D6F08"/>
    <w:rsid w:val="006E062C"/>
    <w:rsid w:val="006E079D"/>
    <w:rsid w:val="006E1C82"/>
    <w:rsid w:val="006E2005"/>
    <w:rsid w:val="006E28B7"/>
    <w:rsid w:val="006E2A9B"/>
    <w:rsid w:val="006E3310"/>
    <w:rsid w:val="006E4E39"/>
    <w:rsid w:val="006E565E"/>
    <w:rsid w:val="006E59EA"/>
    <w:rsid w:val="006E5C47"/>
    <w:rsid w:val="006E6156"/>
    <w:rsid w:val="006E633A"/>
    <w:rsid w:val="006E673D"/>
    <w:rsid w:val="006E7CBE"/>
    <w:rsid w:val="006E7D3B"/>
    <w:rsid w:val="006F1B70"/>
    <w:rsid w:val="006F341D"/>
    <w:rsid w:val="006F3CDE"/>
    <w:rsid w:val="006F58D4"/>
    <w:rsid w:val="006F62B7"/>
    <w:rsid w:val="006F6582"/>
    <w:rsid w:val="006F74D3"/>
    <w:rsid w:val="00700417"/>
    <w:rsid w:val="00700BC2"/>
    <w:rsid w:val="007023D7"/>
    <w:rsid w:val="0070346E"/>
    <w:rsid w:val="00704EDB"/>
    <w:rsid w:val="00705E8A"/>
    <w:rsid w:val="00706101"/>
    <w:rsid w:val="00707072"/>
    <w:rsid w:val="0070761D"/>
    <w:rsid w:val="00707D61"/>
    <w:rsid w:val="00712287"/>
    <w:rsid w:val="00712772"/>
    <w:rsid w:val="00713D1F"/>
    <w:rsid w:val="007148D3"/>
    <w:rsid w:val="00715B9A"/>
    <w:rsid w:val="00716236"/>
    <w:rsid w:val="007164E2"/>
    <w:rsid w:val="00717A08"/>
    <w:rsid w:val="00720719"/>
    <w:rsid w:val="007209DC"/>
    <w:rsid w:val="007220FB"/>
    <w:rsid w:val="00722955"/>
    <w:rsid w:val="007254E1"/>
    <w:rsid w:val="007257D0"/>
    <w:rsid w:val="007261C1"/>
    <w:rsid w:val="00726EA6"/>
    <w:rsid w:val="00727208"/>
    <w:rsid w:val="00727460"/>
    <w:rsid w:val="00727680"/>
    <w:rsid w:val="0073266B"/>
    <w:rsid w:val="00732FF6"/>
    <w:rsid w:val="0073363B"/>
    <w:rsid w:val="007348B1"/>
    <w:rsid w:val="007362A6"/>
    <w:rsid w:val="00736AF0"/>
    <w:rsid w:val="00736D7D"/>
    <w:rsid w:val="00740E58"/>
    <w:rsid w:val="00741BF6"/>
    <w:rsid w:val="00741E2E"/>
    <w:rsid w:val="00744078"/>
    <w:rsid w:val="007445A0"/>
    <w:rsid w:val="0074524B"/>
    <w:rsid w:val="0074709F"/>
    <w:rsid w:val="00747D8B"/>
    <w:rsid w:val="00751228"/>
    <w:rsid w:val="00751533"/>
    <w:rsid w:val="007518E5"/>
    <w:rsid w:val="00754F81"/>
    <w:rsid w:val="00756A2B"/>
    <w:rsid w:val="007571E1"/>
    <w:rsid w:val="007604B2"/>
    <w:rsid w:val="00761D3D"/>
    <w:rsid w:val="00763B02"/>
    <w:rsid w:val="00764903"/>
    <w:rsid w:val="00765281"/>
    <w:rsid w:val="00765AFB"/>
    <w:rsid w:val="00765CD6"/>
    <w:rsid w:val="007668CF"/>
    <w:rsid w:val="00766BAD"/>
    <w:rsid w:val="0077036D"/>
    <w:rsid w:val="00770ABD"/>
    <w:rsid w:val="00771893"/>
    <w:rsid w:val="007729A2"/>
    <w:rsid w:val="00772FEF"/>
    <w:rsid w:val="0077554D"/>
    <w:rsid w:val="007755F2"/>
    <w:rsid w:val="0077669C"/>
    <w:rsid w:val="00776971"/>
    <w:rsid w:val="00776C43"/>
    <w:rsid w:val="00780A80"/>
    <w:rsid w:val="0078177E"/>
    <w:rsid w:val="00782CC2"/>
    <w:rsid w:val="00782E13"/>
    <w:rsid w:val="0078304C"/>
    <w:rsid w:val="00783673"/>
    <w:rsid w:val="00784C71"/>
    <w:rsid w:val="00784EAE"/>
    <w:rsid w:val="00785490"/>
    <w:rsid w:val="00786330"/>
    <w:rsid w:val="007867BE"/>
    <w:rsid w:val="007870B4"/>
    <w:rsid w:val="0079080B"/>
    <w:rsid w:val="007915C8"/>
    <w:rsid w:val="007925EA"/>
    <w:rsid w:val="0079327B"/>
    <w:rsid w:val="00793CD8"/>
    <w:rsid w:val="00795C92"/>
    <w:rsid w:val="00795F78"/>
    <w:rsid w:val="007960FE"/>
    <w:rsid w:val="00796231"/>
    <w:rsid w:val="00796B99"/>
    <w:rsid w:val="007A1CB3"/>
    <w:rsid w:val="007A2617"/>
    <w:rsid w:val="007A2954"/>
    <w:rsid w:val="007A2E98"/>
    <w:rsid w:val="007A306F"/>
    <w:rsid w:val="007A43A6"/>
    <w:rsid w:val="007A58A6"/>
    <w:rsid w:val="007A63CD"/>
    <w:rsid w:val="007A7452"/>
    <w:rsid w:val="007A7CE1"/>
    <w:rsid w:val="007B0178"/>
    <w:rsid w:val="007B2E78"/>
    <w:rsid w:val="007B2F08"/>
    <w:rsid w:val="007B3D2D"/>
    <w:rsid w:val="007B50AE"/>
    <w:rsid w:val="007B51DF"/>
    <w:rsid w:val="007B6441"/>
    <w:rsid w:val="007B7C85"/>
    <w:rsid w:val="007C034E"/>
    <w:rsid w:val="007C05DD"/>
    <w:rsid w:val="007C35C1"/>
    <w:rsid w:val="007C3905"/>
    <w:rsid w:val="007C3D18"/>
    <w:rsid w:val="007C545C"/>
    <w:rsid w:val="007C60BF"/>
    <w:rsid w:val="007C6A07"/>
    <w:rsid w:val="007C7177"/>
    <w:rsid w:val="007C75A1"/>
    <w:rsid w:val="007C75BB"/>
    <w:rsid w:val="007C77A5"/>
    <w:rsid w:val="007D04E5"/>
    <w:rsid w:val="007D16B1"/>
    <w:rsid w:val="007D2A71"/>
    <w:rsid w:val="007D38FC"/>
    <w:rsid w:val="007D58B9"/>
    <w:rsid w:val="007D5901"/>
    <w:rsid w:val="007D5B68"/>
    <w:rsid w:val="007D72DE"/>
    <w:rsid w:val="007D73FE"/>
    <w:rsid w:val="007D7526"/>
    <w:rsid w:val="007E1388"/>
    <w:rsid w:val="007E197D"/>
    <w:rsid w:val="007E4610"/>
    <w:rsid w:val="007E4715"/>
    <w:rsid w:val="007E505B"/>
    <w:rsid w:val="007E7089"/>
    <w:rsid w:val="007E7091"/>
    <w:rsid w:val="007F16FF"/>
    <w:rsid w:val="007F2019"/>
    <w:rsid w:val="007F214F"/>
    <w:rsid w:val="007F3088"/>
    <w:rsid w:val="007F5E74"/>
    <w:rsid w:val="007F72B5"/>
    <w:rsid w:val="007F741C"/>
    <w:rsid w:val="00802774"/>
    <w:rsid w:val="00802DC3"/>
    <w:rsid w:val="00802F7E"/>
    <w:rsid w:val="00803FAE"/>
    <w:rsid w:val="0080605F"/>
    <w:rsid w:val="00806395"/>
    <w:rsid w:val="00807786"/>
    <w:rsid w:val="008119CF"/>
    <w:rsid w:val="00811E01"/>
    <w:rsid w:val="00811FCB"/>
    <w:rsid w:val="00812E86"/>
    <w:rsid w:val="0081563B"/>
    <w:rsid w:val="008158D6"/>
    <w:rsid w:val="008167FD"/>
    <w:rsid w:val="00816E91"/>
    <w:rsid w:val="00817196"/>
    <w:rsid w:val="008228DE"/>
    <w:rsid w:val="008235DB"/>
    <w:rsid w:val="00824AB4"/>
    <w:rsid w:val="00824B74"/>
    <w:rsid w:val="00824BD1"/>
    <w:rsid w:val="00825C42"/>
    <w:rsid w:val="00825D25"/>
    <w:rsid w:val="0082637F"/>
    <w:rsid w:val="0082668E"/>
    <w:rsid w:val="00827D6F"/>
    <w:rsid w:val="0083057C"/>
    <w:rsid w:val="00833671"/>
    <w:rsid w:val="00835E2C"/>
    <w:rsid w:val="008376AC"/>
    <w:rsid w:val="008444E8"/>
    <w:rsid w:val="00844E80"/>
    <w:rsid w:val="00845FBA"/>
    <w:rsid w:val="008466C1"/>
    <w:rsid w:val="00846FE7"/>
    <w:rsid w:val="0085366F"/>
    <w:rsid w:val="00854AB5"/>
    <w:rsid w:val="00855E18"/>
    <w:rsid w:val="00856911"/>
    <w:rsid w:val="00862A33"/>
    <w:rsid w:val="008677FD"/>
    <w:rsid w:val="008706D4"/>
    <w:rsid w:val="00870F8A"/>
    <w:rsid w:val="008719A4"/>
    <w:rsid w:val="00871D23"/>
    <w:rsid w:val="00874312"/>
    <w:rsid w:val="0087437C"/>
    <w:rsid w:val="008748CE"/>
    <w:rsid w:val="00875A60"/>
    <w:rsid w:val="00875CD7"/>
    <w:rsid w:val="0087667C"/>
    <w:rsid w:val="00876A6E"/>
    <w:rsid w:val="00876B4D"/>
    <w:rsid w:val="00877F18"/>
    <w:rsid w:val="00884AF6"/>
    <w:rsid w:val="00886555"/>
    <w:rsid w:val="008903E1"/>
    <w:rsid w:val="00890920"/>
    <w:rsid w:val="008941E3"/>
    <w:rsid w:val="008942BC"/>
    <w:rsid w:val="00894A88"/>
    <w:rsid w:val="00895386"/>
    <w:rsid w:val="008955A0"/>
    <w:rsid w:val="008956DF"/>
    <w:rsid w:val="00895E84"/>
    <w:rsid w:val="008971CE"/>
    <w:rsid w:val="008A07D8"/>
    <w:rsid w:val="008A10C5"/>
    <w:rsid w:val="008A14C9"/>
    <w:rsid w:val="008A21FF"/>
    <w:rsid w:val="008A2CE2"/>
    <w:rsid w:val="008A30AC"/>
    <w:rsid w:val="008A3156"/>
    <w:rsid w:val="008A36E7"/>
    <w:rsid w:val="008A3EB4"/>
    <w:rsid w:val="008A4294"/>
    <w:rsid w:val="008A44B8"/>
    <w:rsid w:val="008A51A8"/>
    <w:rsid w:val="008A54C7"/>
    <w:rsid w:val="008A7516"/>
    <w:rsid w:val="008A77D8"/>
    <w:rsid w:val="008B0483"/>
    <w:rsid w:val="008B04E4"/>
    <w:rsid w:val="008B0AEC"/>
    <w:rsid w:val="008B0DD5"/>
    <w:rsid w:val="008B120C"/>
    <w:rsid w:val="008B1A43"/>
    <w:rsid w:val="008B2298"/>
    <w:rsid w:val="008B2CA7"/>
    <w:rsid w:val="008B33E8"/>
    <w:rsid w:val="008B51A0"/>
    <w:rsid w:val="008B592A"/>
    <w:rsid w:val="008B5A5B"/>
    <w:rsid w:val="008B7B5C"/>
    <w:rsid w:val="008C0C99"/>
    <w:rsid w:val="008C1B6F"/>
    <w:rsid w:val="008C1FEA"/>
    <w:rsid w:val="008C2017"/>
    <w:rsid w:val="008C2937"/>
    <w:rsid w:val="008C47B4"/>
    <w:rsid w:val="008C4958"/>
    <w:rsid w:val="008C4BAA"/>
    <w:rsid w:val="008C580E"/>
    <w:rsid w:val="008C6AE8"/>
    <w:rsid w:val="008C7573"/>
    <w:rsid w:val="008D00A5"/>
    <w:rsid w:val="008D0ED5"/>
    <w:rsid w:val="008D2799"/>
    <w:rsid w:val="008D33B1"/>
    <w:rsid w:val="008D34F1"/>
    <w:rsid w:val="008D3538"/>
    <w:rsid w:val="008D39D8"/>
    <w:rsid w:val="008D430D"/>
    <w:rsid w:val="008D6D1A"/>
    <w:rsid w:val="008E065E"/>
    <w:rsid w:val="008E0927"/>
    <w:rsid w:val="008E0A40"/>
    <w:rsid w:val="008E1909"/>
    <w:rsid w:val="008E1B09"/>
    <w:rsid w:val="008E267C"/>
    <w:rsid w:val="008E3464"/>
    <w:rsid w:val="008E4AAC"/>
    <w:rsid w:val="008F1C4E"/>
    <w:rsid w:val="008F1EAB"/>
    <w:rsid w:val="008F2CFB"/>
    <w:rsid w:val="008F2E6D"/>
    <w:rsid w:val="008F33DC"/>
    <w:rsid w:val="008F477F"/>
    <w:rsid w:val="008F7BE8"/>
    <w:rsid w:val="00902350"/>
    <w:rsid w:val="009029F6"/>
    <w:rsid w:val="009030D8"/>
    <w:rsid w:val="0090336B"/>
    <w:rsid w:val="00903F44"/>
    <w:rsid w:val="009052BD"/>
    <w:rsid w:val="009053AA"/>
    <w:rsid w:val="00905D21"/>
    <w:rsid w:val="009061A8"/>
    <w:rsid w:val="0090670D"/>
    <w:rsid w:val="00906939"/>
    <w:rsid w:val="00910B7D"/>
    <w:rsid w:val="00911DFB"/>
    <w:rsid w:val="009139D9"/>
    <w:rsid w:val="00913F4C"/>
    <w:rsid w:val="00914AD8"/>
    <w:rsid w:val="0091559C"/>
    <w:rsid w:val="00916079"/>
    <w:rsid w:val="00916AF1"/>
    <w:rsid w:val="00917CE9"/>
    <w:rsid w:val="0092009A"/>
    <w:rsid w:val="00920BF2"/>
    <w:rsid w:val="00921BDC"/>
    <w:rsid w:val="00921DCA"/>
    <w:rsid w:val="00922010"/>
    <w:rsid w:val="00922271"/>
    <w:rsid w:val="00922BA4"/>
    <w:rsid w:val="00924876"/>
    <w:rsid w:val="00925CF6"/>
    <w:rsid w:val="00925DC3"/>
    <w:rsid w:val="009301BD"/>
    <w:rsid w:val="00930B04"/>
    <w:rsid w:val="00931BD9"/>
    <w:rsid w:val="00932709"/>
    <w:rsid w:val="009327E4"/>
    <w:rsid w:val="009363AE"/>
    <w:rsid w:val="009368F3"/>
    <w:rsid w:val="00941398"/>
    <w:rsid w:val="00941636"/>
    <w:rsid w:val="00943742"/>
    <w:rsid w:val="009447E4"/>
    <w:rsid w:val="00945939"/>
    <w:rsid w:val="00945C05"/>
    <w:rsid w:val="009460F3"/>
    <w:rsid w:val="00946945"/>
    <w:rsid w:val="00946FB0"/>
    <w:rsid w:val="0094725F"/>
    <w:rsid w:val="00947713"/>
    <w:rsid w:val="00947ECA"/>
    <w:rsid w:val="00950DE7"/>
    <w:rsid w:val="009519B3"/>
    <w:rsid w:val="00953920"/>
    <w:rsid w:val="00953A12"/>
    <w:rsid w:val="00953D47"/>
    <w:rsid w:val="00954FEF"/>
    <w:rsid w:val="00955ABD"/>
    <w:rsid w:val="0095681E"/>
    <w:rsid w:val="00956B6C"/>
    <w:rsid w:val="009572D4"/>
    <w:rsid w:val="00957A8F"/>
    <w:rsid w:val="00957C8B"/>
    <w:rsid w:val="00961921"/>
    <w:rsid w:val="00962C6C"/>
    <w:rsid w:val="00963197"/>
    <w:rsid w:val="0096358D"/>
    <w:rsid w:val="0096430A"/>
    <w:rsid w:val="0096554B"/>
    <w:rsid w:val="0096584A"/>
    <w:rsid w:val="00966998"/>
    <w:rsid w:val="00967216"/>
    <w:rsid w:val="00970B83"/>
    <w:rsid w:val="00970CDC"/>
    <w:rsid w:val="00970E38"/>
    <w:rsid w:val="009710EA"/>
    <w:rsid w:val="00971F08"/>
    <w:rsid w:val="00972656"/>
    <w:rsid w:val="009753DE"/>
    <w:rsid w:val="00975D39"/>
    <w:rsid w:val="0097603D"/>
    <w:rsid w:val="00976949"/>
    <w:rsid w:val="00980477"/>
    <w:rsid w:val="00980894"/>
    <w:rsid w:val="00983F08"/>
    <w:rsid w:val="00985253"/>
    <w:rsid w:val="009853B3"/>
    <w:rsid w:val="009871FE"/>
    <w:rsid w:val="00990630"/>
    <w:rsid w:val="0099065C"/>
    <w:rsid w:val="00991761"/>
    <w:rsid w:val="009919D8"/>
    <w:rsid w:val="00993F26"/>
    <w:rsid w:val="00994341"/>
    <w:rsid w:val="00994DCA"/>
    <w:rsid w:val="009954A1"/>
    <w:rsid w:val="009960EC"/>
    <w:rsid w:val="009970DD"/>
    <w:rsid w:val="00997377"/>
    <w:rsid w:val="009A0FBA"/>
    <w:rsid w:val="009A1350"/>
    <w:rsid w:val="009A1601"/>
    <w:rsid w:val="009A2583"/>
    <w:rsid w:val="009A3A0A"/>
    <w:rsid w:val="009A3BB6"/>
    <w:rsid w:val="009A3E4C"/>
    <w:rsid w:val="009A462D"/>
    <w:rsid w:val="009A5661"/>
    <w:rsid w:val="009A5C31"/>
    <w:rsid w:val="009A5CBA"/>
    <w:rsid w:val="009A7E27"/>
    <w:rsid w:val="009B00C1"/>
    <w:rsid w:val="009B16D8"/>
    <w:rsid w:val="009B1F30"/>
    <w:rsid w:val="009B2150"/>
    <w:rsid w:val="009B2BB9"/>
    <w:rsid w:val="009B3AC2"/>
    <w:rsid w:val="009B4DF4"/>
    <w:rsid w:val="009B564E"/>
    <w:rsid w:val="009B574F"/>
    <w:rsid w:val="009B6188"/>
    <w:rsid w:val="009B7E87"/>
    <w:rsid w:val="009C0169"/>
    <w:rsid w:val="009C2977"/>
    <w:rsid w:val="009C403E"/>
    <w:rsid w:val="009C4A55"/>
    <w:rsid w:val="009C5E24"/>
    <w:rsid w:val="009C68B5"/>
    <w:rsid w:val="009D399B"/>
    <w:rsid w:val="009D4FF0"/>
    <w:rsid w:val="009D670E"/>
    <w:rsid w:val="009D703C"/>
    <w:rsid w:val="009D718F"/>
    <w:rsid w:val="009E068F"/>
    <w:rsid w:val="009E14DD"/>
    <w:rsid w:val="009E14E0"/>
    <w:rsid w:val="009E35DB"/>
    <w:rsid w:val="009E3915"/>
    <w:rsid w:val="009E3A04"/>
    <w:rsid w:val="009E3B23"/>
    <w:rsid w:val="009E47A3"/>
    <w:rsid w:val="009E4AB0"/>
    <w:rsid w:val="009E6336"/>
    <w:rsid w:val="009E71CB"/>
    <w:rsid w:val="009F08F3"/>
    <w:rsid w:val="009F0E67"/>
    <w:rsid w:val="009F10A4"/>
    <w:rsid w:val="009F2B06"/>
    <w:rsid w:val="009F2FC6"/>
    <w:rsid w:val="009F344F"/>
    <w:rsid w:val="009F3AE6"/>
    <w:rsid w:val="009F3FCA"/>
    <w:rsid w:val="00A0091B"/>
    <w:rsid w:val="00A01F79"/>
    <w:rsid w:val="00A031D8"/>
    <w:rsid w:val="00A048A8"/>
    <w:rsid w:val="00A04F49"/>
    <w:rsid w:val="00A0519E"/>
    <w:rsid w:val="00A06492"/>
    <w:rsid w:val="00A11597"/>
    <w:rsid w:val="00A13E54"/>
    <w:rsid w:val="00A1412F"/>
    <w:rsid w:val="00A16E6F"/>
    <w:rsid w:val="00A17F63"/>
    <w:rsid w:val="00A201D0"/>
    <w:rsid w:val="00A2193B"/>
    <w:rsid w:val="00A2351A"/>
    <w:rsid w:val="00A2364D"/>
    <w:rsid w:val="00A23B8A"/>
    <w:rsid w:val="00A240E0"/>
    <w:rsid w:val="00A264A9"/>
    <w:rsid w:val="00A26DCF"/>
    <w:rsid w:val="00A27785"/>
    <w:rsid w:val="00A27BDB"/>
    <w:rsid w:val="00A30187"/>
    <w:rsid w:val="00A3051D"/>
    <w:rsid w:val="00A310D1"/>
    <w:rsid w:val="00A3233A"/>
    <w:rsid w:val="00A32752"/>
    <w:rsid w:val="00A3448A"/>
    <w:rsid w:val="00A36297"/>
    <w:rsid w:val="00A377B8"/>
    <w:rsid w:val="00A37B36"/>
    <w:rsid w:val="00A40FE1"/>
    <w:rsid w:val="00A4108B"/>
    <w:rsid w:val="00A41E2B"/>
    <w:rsid w:val="00A4233D"/>
    <w:rsid w:val="00A427D8"/>
    <w:rsid w:val="00A43DD6"/>
    <w:rsid w:val="00A4457B"/>
    <w:rsid w:val="00A45B74"/>
    <w:rsid w:val="00A46318"/>
    <w:rsid w:val="00A46FCF"/>
    <w:rsid w:val="00A47682"/>
    <w:rsid w:val="00A51DED"/>
    <w:rsid w:val="00A524F9"/>
    <w:rsid w:val="00A52E1D"/>
    <w:rsid w:val="00A61499"/>
    <w:rsid w:val="00A62A11"/>
    <w:rsid w:val="00A62A77"/>
    <w:rsid w:val="00A63483"/>
    <w:rsid w:val="00A64EE5"/>
    <w:rsid w:val="00A657D7"/>
    <w:rsid w:val="00A660AC"/>
    <w:rsid w:val="00A66B89"/>
    <w:rsid w:val="00A67544"/>
    <w:rsid w:val="00A67E6C"/>
    <w:rsid w:val="00A71B99"/>
    <w:rsid w:val="00A739D0"/>
    <w:rsid w:val="00A761D4"/>
    <w:rsid w:val="00A76782"/>
    <w:rsid w:val="00A77776"/>
    <w:rsid w:val="00A77EC4"/>
    <w:rsid w:val="00A818FF"/>
    <w:rsid w:val="00A81E31"/>
    <w:rsid w:val="00A83EFA"/>
    <w:rsid w:val="00A8508B"/>
    <w:rsid w:val="00A902BF"/>
    <w:rsid w:val="00A92879"/>
    <w:rsid w:val="00A9442A"/>
    <w:rsid w:val="00A96179"/>
    <w:rsid w:val="00AA016F"/>
    <w:rsid w:val="00AA059F"/>
    <w:rsid w:val="00AA19FC"/>
    <w:rsid w:val="00AA1C81"/>
    <w:rsid w:val="00AA1ED6"/>
    <w:rsid w:val="00AA3AF0"/>
    <w:rsid w:val="00AA51D6"/>
    <w:rsid w:val="00AB0BC8"/>
    <w:rsid w:val="00AB11CA"/>
    <w:rsid w:val="00AB1425"/>
    <w:rsid w:val="00AB14D9"/>
    <w:rsid w:val="00AB1E42"/>
    <w:rsid w:val="00AB3569"/>
    <w:rsid w:val="00AB4AB8"/>
    <w:rsid w:val="00AB50FC"/>
    <w:rsid w:val="00AB655E"/>
    <w:rsid w:val="00AC007F"/>
    <w:rsid w:val="00AC0965"/>
    <w:rsid w:val="00AC0B84"/>
    <w:rsid w:val="00AC2EAC"/>
    <w:rsid w:val="00AC2ECD"/>
    <w:rsid w:val="00AC3119"/>
    <w:rsid w:val="00AC445D"/>
    <w:rsid w:val="00AC4538"/>
    <w:rsid w:val="00AC49FB"/>
    <w:rsid w:val="00AC5807"/>
    <w:rsid w:val="00AC5A10"/>
    <w:rsid w:val="00AC7ABB"/>
    <w:rsid w:val="00AD0AA3"/>
    <w:rsid w:val="00AD0C0E"/>
    <w:rsid w:val="00AD0D4D"/>
    <w:rsid w:val="00AD196B"/>
    <w:rsid w:val="00AD1F2F"/>
    <w:rsid w:val="00AD2D62"/>
    <w:rsid w:val="00AD2ED0"/>
    <w:rsid w:val="00AD34F1"/>
    <w:rsid w:val="00AD3F94"/>
    <w:rsid w:val="00AD4A5A"/>
    <w:rsid w:val="00AD60B0"/>
    <w:rsid w:val="00AD6D72"/>
    <w:rsid w:val="00AE0A7B"/>
    <w:rsid w:val="00AE27AC"/>
    <w:rsid w:val="00AE2CBD"/>
    <w:rsid w:val="00AE40E0"/>
    <w:rsid w:val="00AE439A"/>
    <w:rsid w:val="00AE4DBA"/>
    <w:rsid w:val="00AE4F07"/>
    <w:rsid w:val="00AE56D4"/>
    <w:rsid w:val="00AE7A6D"/>
    <w:rsid w:val="00AF1C5D"/>
    <w:rsid w:val="00AF20AE"/>
    <w:rsid w:val="00AF2737"/>
    <w:rsid w:val="00AF42D7"/>
    <w:rsid w:val="00AF518A"/>
    <w:rsid w:val="00AF5625"/>
    <w:rsid w:val="00AF580A"/>
    <w:rsid w:val="00AF660D"/>
    <w:rsid w:val="00AF6D0A"/>
    <w:rsid w:val="00B006FE"/>
    <w:rsid w:val="00B007CB"/>
    <w:rsid w:val="00B01814"/>
    <w:rsid w:val="00B02AA9"/>
    <w:rsid w:val="00B02FA3"/>
    <w:rsid w:val="00B03111"/>
    <w:rsid w:val="00B03330"/>
    <w:rsid w:val="00B0361F"/>
    <w:rsid w:val="00B03959"/>
    <w:rsid w:val="00B04901"/>
    <w:rsid w:val="00B04AAD"/>
    <w:rsid w:val="00B05084"/>
    <w:rsid w:val="00B05F71"/>
    <w:rsid w:val="00B07B7B"/>
    <w:rsid w:val="00B11274"/>
    <w:rsid w:val="00B11395"/>
    <w:rsid w:val="00B14DE7"/>
    <w:rsid w:val="00B157F9"/>
    <w:rsid w:val="00B20256"/>
    <w:rsid w:val="00B207CC"/>
    <w:rsid w:val="00B20D09"/>
    <w:rsid w:val="00B20FE9"/>
    <w:rsid w:val="00B21244"/>
    <w:rsid w:val="00B2235B"/>
    <w:rsid w:val="00B2251E"/>
    <w:rsid w:val="00B243BD"/>
    <w:rsid w:val="00B25453"/>
    <w:rsid w:val="00B263B9"/>
    <w:rsid w:val="00B26639"/>
    <w:rsid w:val="00B26D9E"/>
    <w:rsid w:val="00B2763F"/>
    <w:rsid w:val="00B27AAC"/>
    <w:rsid w:val="00B30929"/>
    <w:rsid w:val="00B31155"/>
    <w:rsid w:val="00B324A5"/>
    <w:rsid w:val="00B34FC6"/>
    <w:rsid w:val="00B36B37"/>
    <w:rsid w:val="00B372AA"/>
    <w:rsid w:val="00B4023D"/>
    <w:rsid w:val="00B40445"/>
    <w:rsid w:val="00B409E0"/>
    <w:rsid w:val="00B41888"/>
    <w:rsid w:val="00B43A0D"/>
    <w:rsid w:val="00B45A52"/>
    <w:rsid w:val="00B46175"/>
    <w:rsid w:val="00B514F3"/>
    <w:rsid w:val="00B548B7"/>
    <w:rsid w:val="00B5717A"/>
    <w:rsid w:val="00B6014B"/>
    <w:rsid w:val="00B60345"/>
    <w:rsid w:val="00B6076B"/>
    <w:rsid w:val="00B63760"/>
    <w:rsid w:val="00B63858"/>
    <w:rsid w:val="00B65236"/>
    <w:rsid w:val="00B664C7"/>
    <w:rsid w:val="00B66CC3"/>
    <w:rsid w:val="00B70D69"/>
    <w:rsid w:val="00B713F7"/>
    <w:rsid w:val="00B71781"/>
    <w:rsid w:val="00B7191D"/>
    <w:rsid w:val="00B71A3C"/>
    <w:rsid w:val="00B739F6"/>
    <w:rsid w:val="00B73FD6"/>
    <w:rsid w:val="00B7403A"/>
    <w:rsid w:val="00B74042"/>
    <w:rsid w:val="00B76E84"/>
    <w:rsid w:val="00B771AC"/>
    <w:rsid w:val="00B80409"/>
    <w:rsid w:val="00B804DD"/>
    <w:rsid w:val="00B819BA"/>
    <w:rsid w:val="00B81A6C"/>
    <w:rsid w:val="00B83325"/>
    <w:rsid w:val="00B85DE5"/>
    <w:rsid w:val="00B86851"/>
    <w:rsid w:val="00B86971"/>
    <w:rsid w:val="00B906BC"/>
    <w:rsid w:val="00B9084B"/>
    <w:rsid w:val="00B90A5A"/>
    <w:rsid w:val="00B90F73"/>
    <w:rsid w:val="00B912B8"/>
    <w:rsid w:val="00B934CC"/>
    <w:rsid w:val="00B93A31"/>
    <w:rsid w:val="00B93B34"/>
    <w:rsid w:val="00B93B59"/>
    <w:rsid w:val="00B9406A"/>
    <w:rsid w:val="00B94E0E"/>
    <w:rsid w:val="00B9751D"/>
    <w:rsid w:val="00BA1107"/>
    <w:rsid w:val="00BA2280"/>
    <w:rsid w:val="00BA275C"/>
    <w:rsid w:val="00BA2A08"/>
    <w:rsid w:val="00BA31BD"/>
    <w:rsid w:val="00BA4D87"/>
    <w:rsid w:val="00BA56D2"/>
    <w:rsid w:val="00BA76E0"/>
    <w:rsid w:val="00BB2A25"/>
    <w:rsid w:val="00BB51E9"/>
    <w:rsid w:val="00BC0435"/>
    <w:rsid w:val="00BC04F0"/>
    <w:rsid w:val="00BC0FDC"/>
    <w:rsid w:val="00BC2096"/>
    <w:rsid w:val="00BC3053"/>
    <w:rsid w:val="00BC3C66"/>
    <w:rsid w:val="00BC3EFD"/>
    <w:rsid w:val="00BC4BDE"/>
    <w:rsid w:val="00BC4D2E"/>
    <w:rsid w:val="00BC5749"/>
    <w:rsid w:val="00BD00AD"/>
    <w:rsid w:val="00BD1343"/>
    <w:rsid w:val="00BD3A66"/>
    <w:rsid w:val="00BD4509"/>
    <w:rsid w:val="00BD48AC"/>
    <w:rsid w:val="00BD5F1A"/>
    <w:rsid w:val="00BD65EF"/>
    <w:rsid w:val="00BE00A4"/>
    <w:rsid w:val="00BE0D7C"/>
    <w:rsid w:val="00BE1234"/>
    <w:rsid w:val="00BE22A3"/>
    <w:rsid w:val="00BE2FA6"/>
    <w:rsid w:val="00BE333F"/>
    <w:rsid w:val="00BE5135"/>
    <w:rsid w:val="00BE6BC2"/>
    <w:rsid w:val="00BE7406"/>
    <w:rsid w:val="00BE7603"/>
    <w:rsid w:val="00BF024C"/>
    <w:rsid w:val="00BF0360"/>
    <w:rsid w:val="00BF15E0"/>
    <w:rsid w:val="00BF1C36"/>
    <w:rsid w:val="00BF1ED8"/>
    <w:rsid w:val="00BF3279"/>
    <w:rsid w:val="00BF33C2"/>
    <w:rsid w:val="00BF3DE2"/>
    <w:rsid w:val="00BF448F"/>
    <w:rsid w:val="00BF4588"/>
    <w:rsid w:val="00BF4734"/>
    <w:rsid w:val="00BF576A"/>
    <w:rsid w:val="00BF59FE"/>
    <w:rsid w:val="00BF603F"/>
    <w:rsid w:val="00BF74C7"/>
    <w:rsid w:val="00BF7640"/>
    <w:rsid w:val="00BF78D2"/>
    <w:rsid w:val="00C015F1"/>
    <w:rsid w:val="00C01F33"/>
    <w:rsid w:val="00C02CC6"/>
    <w:rsid w:val="00C03CDB"/>
    <w:rsid w:val="00C040F7"/>
    <w:rsid w:val="00C042EF"/>
    <w:rsid w:val="00C044AB"/>
    <w:rsid w:val="00C05706"/>
    <w:rsid w:val="00C07377"/>
    <w:rsid w:val="00C07FD8"/>
    <w:rsid w:val="00C10478"/>
    <w:rsid w:val="00C12107"/>
    <w:rsid w:val="00C133BB"/>
    <w:rsid w:val="00C1347F"/>
    <w:rsid w:val="00C147B9"/>
    <w:rsid w:val="00C14D4B"/>
    <w:rsid w:val="00C154BB"/>
    <w:rsid w:val="00C171F5"/>
    <w:rsid w:val="00C20974"/>
    <w:rsid w:val="00C23483"/>
    <w:rsid w:val="00C23F64"/>
    <w:rsid w:val="00C273E6"/>
    <w:rsid w:val="00C27817"/>
    <w:rsid w:val="00C279B5"/>
    <w:rsid w:val="00C27C45"/>
    <w:rsid w:val="00C30251"/>
    <w:rsid w:val="00C328C2"/>
    <w:rsid w:val="00C329B2"/>
    <w:rsid w:val="00C348BD"/>
    <w:rsid w:val="00C3719D"/>
    <w:rsid w:val="00C37CB2"/>
    <w:rsid w:val="00C41E41"/>
    <w:rsid w:val="00C423B1"/>
    <w:rsid w:val="00C43F16"/>
    <w:rsid w:val="00C444EE"/>
    <w:rsid w:val="00C445A8"/>
    <w:rsid w:val="00C44677"/>
    <w:rsid w:val="00C44DC2"/>
    <w:rsid w:val="00C45D83"/>
    <w:rsid w:val="00C46A35"/>
    <w:rsid w:val="00C473A5"/>
    <w:rsid w:val="00C5490B"/>
    <w:rsid w:val="00C54995"/>
    <w:rsid w:val="00C54B9E"/>
    <w:rsid w:val="00C54D41"/>
    <w:rsid w:val="00C556F0"/>
    <w:rsid w:val="00C56242"/>
    <w:rsid w:val="00C60783"/>
    <w:rsid w:val="00C64672"/>
    <w:rsid w:val="00C70697"/>
    <w:rsid w:val="00C70E89"/>
    <w:rsid w:val="00C71004"/>
    <w:rsid w:val="00C72093"/>
    <w:rsid w:val="00C721C2"/>
    <w:rsid w:val="00C72EF4"/>
    <w:rsid w:val="00C744FE"/>
    <w:rsid w:val="00C75D2F"/>
    <w:rsid w:val="00C767BE"/>
    <w:rsid w:val="00C76E3C"/>
    <w:rsid w:val="00C81568"/>
    <w:rsid w:val="00C81CFB"/>
    <w:rsid w:val="00C84B11"/>
    <w:rsid w:val="00C84E95"/>
    <w:rsid w:val="00C86602"/>
    <w:rsid w:val="00C900F3"/>
    <w:rsid w:val="00C9027A"/>
    <w:rsid w:val="00C9068E"/>
    <w:rsid w:val="00C919D2"/>
    <w:rsid w:val="00C93409"/>
    <w:rsid w:val="00C93814"/>
    <w:rsid w:val="00C939DB"/>
    <w:rsid w:val="00C93C4B"/>
    <w:rsid w:val="00C93DA2"/>
    <w:rsid w:val="00C93E12"/>
    <w:rsid w:val="00C9409A"/>
    <w:rsid w:val="00C944AB"/>
    <w:rsid w:val="00C95B40"/>
    <w:rsid w:val="00CA0279"/>
    <w:rsid w:val="00CA1ED8"/>
    <w:rsid w:val="00CA3FB9"/>
    <w:rsid w:val="00CA4305"/>
    <w:rsid w:val="00CA5DAB"/>
    <w:rsid w:val="00CA6C30"/>
    <w:rsid w:val="00CB1F63"/>
    <w:rsid w:val="00CB2473"/>
    <w:rsid w:val="00CB27B6"/>
    <w:rsid w:val="00CB2C2E"/>
    <w:rsid w:val="00CB3A4D"/>
    <w:rsid w:val="00CB42BC"/>
    <w:rsid w:val="00CB56B8"/>
    <w:rsid w:val="00CB7170"/>
    <w:rsid w:val="00CB7A63"/>
    <w:rsid w:val="00CC040E"/>
    <w:rsid w:val="00CC111F"/>
    <w:rsid w:val="00CC14DF"/>
    <w:rsid w:val="00CC2011"/>
    <w:rsid w:val="00CC3EA0"/>
    <w:rsid w:val="00CC52D6"/>
    <w:rsid w:val="00CC6727"/>
    <w:rsid w:val="00CC7B45"/>
    <w:rsid w:val="00CD1106"/>
    <w:rsid w:val="00CD1188"/>
    <w:rsid w:val="00CD20D1"/>
    <w:rsid w:val="00CD2E01"/>
    <w:rsid w:val="00CD2ED1"/>
    <w:rsid w:val="00CD337B"/>
    <w:rsid w:val="00CD3A4D"/>
    <w:rsid w:val="00CD4A36"/>
    <w:rsid w:val="00CD5214"/>
    <w:rsid w:val="00CD570D"/>
    <w:rsid w:val="00CD6D4B"/>
    <w:rsid w:val="00CE0424"/>
    <w:rsid w:val="00CE1E06"/>
    <w:rsid w:val="00CE393C"/>
    <w:rsid w:val="00CE41FB"/>
    <w:rsid w:val="00CE4D8C"/>
    <w:rsid w:val="00CE7561"/>
    <w:rsid w:val="00CF1354"/>
    <w:rsid w:val="00CF1936"/>
    <w:rsid w:val="00CF3B1F"/>
    <w:rsid w:val="00CF3BF6"/>
    <w:rsid w:val="00CF4419"/>
    <w:rsid w:val="00CF4A7E"/>
    <w:rsid w:val="00CF5632"/>
    <w:rsid w:val="00CF625B"/>
    <w:rsid w:val="00CF65AD"/>
    <w:rsid w:val="00CF687E"/>
    <w:rsid w:val="00D0041A"/>
    <w:rsid w:val="00D0133B"/>
    <w:rsid w:val="00D01559"/>
    <w:rsid w:val="00D0189C"/>
    <w:rsid w:val="00D0349B"/>
    <w:rsid w:val="00D0519B"/>
    <w:rsid w:val="00D0626E"/>
    <w:rsid w:val="00D06522"/>
    <w:rsid w:val="00D07B32"/>
    <w:rsid w:val="00D07DF2"/>
    <w:rsid w:val="00D10249"/>
    <w:rsid w:val="00D107A8"/>
    <w:rsid w:val="00D115C3"/>
    <w:rsid w:val="00D11897"/>
    <w:rsid w:val="00D1300E"/>
    <w:rsid w:val="00D13135"/>
    <w:rsid w:val="00D13E4E"/>
    <w:rsid w:val="00D23813"/>
    <w:rsid w:val="00D239A7"/>
    <w:rsid w:val="00D23F47"/>
    <w:rsid w:val="00D23F99"/>
    <w:rsid w:val="00D24A5A"/>
    <w:rsid w:val="00D25FAF"/>
    <w:rsid w:val="00D26975"/>
    <w:rsid w:val="00D27368"/>
    <w:rsid w:val="00D27D65"/>
    <w:rsid w:val="00D302B8"/>
    <w:rsid w:val="00D331F3"/>
    <w:rsid w:val="00D34E87"/>
    <w:rsid w:val="00D36087"/>
    <w:rsid w:val="00D36E71"/>
    <w:rsid w:val="00D37A0E"/>
    <w:rsid w:val="00D37D87"/>
    <w:rsid w:val="00D40B33"/>
    <w:rsid w:val="00D416CE"/>
    <w:rsid w:val="00D4318F"/>
    <w:rsid w:val="00D438BF"/>
    <w:rsid w:val="00D43D4E"/>
    <w:rsid w:val="00D440F8"/>
    <w:rsid w:val="00D442C6"/>
    <w:rsid w:val="00D45755"/>
    <w:rsid w:val="00D45BE7"/>
    <w:rsid w:val="00D4691D"/>
    <w:rsid w:val="00D46D7B"/>
    <w:rsid w:val="00D50576"/>
    <w:rsid w:val="00D520D3"/>
    <w:rsid w:val="00D546FF"/>
    <w:rsid w:val="00D55AD5"/>
    <w:rsid w:val="00D56EAD"/>
    <w:rsid w:val="00D576CA"/>
    <w:rsid w:val="00D57E54"/>
    <w:rsid w:val="00D61AF5"/>
    <w:rsid w:val="00D63336"/>
    <w:rsid w:val="00D644F1"/>
    <w:rsid w:val="00D652B5"/>
    <w:rsid w:val="00D66155"/>
    <w:rsid w:val="00D708B0"/>
    <w:rsid w:val="00D713E6"/>
    <w:rsid w:val="00D75C65"/>
    <w:rsid w:val="00D765DA"/>
    <w:rsid w:val="00D76993"/>
    <w:rsid w:val="00D76BBD"/>
    <w:rsid w:val="00D770CD"/>
    <w:rsid w:val="00D77B1D"/>
    <w:rsid w:val="00D8021F"/>
    <w:rsid w:val="00D80383"/>
    <w:rsid w:val="00D807D5"/>
    <w:rsid w:val="00D81FD6"/>
    <w:rsid w:val="00D823C6"/>
    <w:rsid w:val="00D8327F"/>
    <w:rsid w:val="00D85BE2"/>
    <w:rsid w:val="00D86B36"/>
    <w:rsid w:val="00D86CA3"/>
    <w:rsid w:val="00D871CE"/>
    <w:rsid w:val="00D90619"/>
    <w:rsid w:val="00D9196D"/>
    <w:rsid w:val="00D91C73"/>
    <w:rsid w:val="00D92905"/>
    <w:rsid w:val="00D92982"/>
    <w:rsid w:val="00D9630A"/>
    <w:rsid w:val="00DA032C"/>
    <w:rsid w:val="00DA1F8B"/>
    <w:rsid w:val="00DA305E"/>
    <w:rsid w:val="00DA37D6"/>
    <w:rsid w:val="00DA5417"/>
    <w:rsid w:val="00DA56E8"/>
    <w:rsid w:val="00DA61FD"/>
    <w:rsid w:val="00DA62CF"/>
    <w:rsid w:val="00DA7759"/>
    <w:rsid w:val="00DB0444"/>
    <w:rsid w:val="00DB06B6"/>
    <w:rsid w:val="00DB0A9F"/>
    <w:rsid w:val="00DB21DA"/>
    <w:rsid w:val="00DB25E5"/>
    <w:rsid w:val="00DB2B4B"/>
    <w:rsid w:val="00DB377D"/>
    <w:rsid w:val="00DB3A10"/>
    <w:rsid w:val="00DB4EFB"/>
    <w:rsid w:val="00DC10B0"/>
    <w:rsid w:val="00DC13C8"/>
    <w:rsid w:val="00DC2D36"/>
    <w:rsid w:val="00DC301D"/>
    <w:rsid w:val="00DC3033"/>
    <w:rsid w:val="00DC3C1F"/>
    <w:rsid w:val="00DC53EF"/>
    <w:rsid w:val="00DC5FED"/>
    <w:rsid w:val="00DC62B8"/>
    <w:rsid w:val="00DC75A4"/>
    <w:rsid w:val="00DC774D"/>
    <w:rsid w:val="00DD0FC2"/>
    <w:rsid w:val="00DD3DA8"/>
    <w:rsid w:val="00DD3E0A"/>
    <w:rsid w:val="00DD6F4E"/>
    <w:rsid w:val="00DD7E37"/>
    <w:rsid w:val="00DE1AD5"/>
    <w:rsid w:val="00DE2BF3"/>
    <w:rsid w:val="00DE2D3F"/>
    <w:rsid w:val="00DE2D87"/>
    <w:rsid w:val="00DE549D"/>
    <w:rsid w:val="00DE5608"/>
    <w:rsid w:val="00DE58D0"/>
    <w:rsid w:val="00DE654F"/>
    <w:rsid w:val="00DF047F"/>
    <w:rsid w:val="00DF0B6E"/>
    <w:rsid w:val="00DF0FE9"/>
    <w:rsid w:val="00DF15E0"/>
    <w:rsid w:val="00DF20B7"/>
    <w:rsid w:val="00DF33A1"/>
    <w:rsid w:val="00DF3609"/>
    <w:rsid w:val="00DF37A0"/>
    <w:rsid w:val="00DF43A2"/>
    <w:rsid w:val="00DF62A0"/>
    <w:rsid w:val="00DF75F1"/>
    <w:rsid w:val="00DF7A79"/>
    <w:rsid w:val="00E0397E"/>
    <w:rsid w:val="00E05212"/>
    <w:rsid w:val="00E05C08"/>
    <w:rsid w:val="00E108DC"/>
    <w:rsid w:val="00E10B2E"/>
    <w:rsid w:val="00E110E7"/>
    <w:rsid w:val="00E11B20"/>
    <w:rsid w:val="00E11F6D"/>
    <w:rsid w:val="00E14528"/>
    <w:rsid w:val="00E17FA2"/>
    <w:rsid w:val="00E20E49"/>
    <w:rsid w:val="00E22330"/>
    <w:rsid w:val="00E24A88"/>
    <w:rsid w:val="00E27D0E"/>
    <w:rsid w:val="00E30B5A"/>
    <w:rsid w:val="00E3123D"/>
    <w:rsid w:val="00E31379"/>
    <w:rsid w:val="00E31461"/>
    <w:rsid w:val="00E31D43"/>
    <w:rsid w:val="00E32608"/>
    <w:rsid w:val="00E32C2E"/>
    <w:rsid w:val="00E3302E"/>
    <w:rsid w:val="00E34188"/>
    <w:rsid w:val="00E34B6E"/>
    <w:rsid w:val="00E35559"/>
    <w:rsid w:val="00E3723A"/>
    <w:rsid w:val="00E373B2"/>
    <w:rsid w:val="00E37860"/>
    <w:rsid w:val="00E44623"/>
    <w:rsid w:val="00E446F1"/>
    <w:rsid w:val="00E46886"/>
    <w:rsid w:val="00E47AEF"/>
    <w:rsid w:val="00E53B75"/>
    <w:rsid w:val="00E54E3B"/>
    <w:rsid w:val="00E55A57"/>
    <w:rsid w:val="00E57565"/>
    <w:rsid w:val="00E57A1D"/>
    <w:rsid w:val="00E60418"/>
    <w:rsid w:val="00E6249F"/>
    <w:rsid w:val="00E624A0"/>
    <w:rsid w:val="00E63838"/>
    <w:rsid w:val="00E63C72"/>
    <w:rsid w:val="00E64434"/>
    <w:rsid w:val="00E65EC6"/>
    <w:rsid w:val="00E65FD7"/>
    <w:rsid w:val="00E66006"/>
    <w:rsid w:val="00E66450"/>
    <w:rsid w:val="00E66D13"/>
    <w:rsid w:val="00E672C7"/>
    <w:rsid w:val="00E67C51"/>
    <w:rsid w:val="00E71464"/>
    <w:rsid w:val="00E719F7"/>
    <w:rsid w:val="00E72EFC"/>
    <w:rsid w:val="00E758EC"/>
    <w:rsid w:val="00E77BFC"/>
    <w:rsid w:val="00E77DD9"/>
    <w:rsid w:val="00E807FC"/>
    <w:rsid w:val="00E8234C"/>
    <w:rsid w:val="00E82FCC"/>
    <w:rsid w:val="00E83AA9"/>
    <w:rsid w:val="00E84414"/>
    <w:rsid w:val="00E84A23"/>
    <w:rsid w:val="00E85928"/>
    <w:rsid w:val="00E87822"/>
    <w:rsid w:val="00E90395"/>
    <w:rsid w:val="00E90E49"/>
    <w:rsid w:val="00E917F9"/>
    <w:rsid w:val="00E9291C"/>
    <w:rsid w:val="00E93FFE"/>
    <w:rsid w:val="00E94F8A"/>
    <w:rsid w:val="00EA2FC7"/>
    <w:rsid w:val="00EA5871"/>
    <w:rsid w:val="00EA7121"/>
    <w:rsid w:val="00EA7A41"/>
    <w:rsid w:val="00EB077B"/>
    <w:rsid w:val="00EB0A5E"/>
    <w:rsid w:val="00EB0F56"/>
    <w:rsid w:val="00EB171B"/>
    <w:rsid w:val="00EB2D6F"/>
    <w:rsid w:val="00EB2E37"/>
    <w:rsid w:val="00EB3DEC"/>
    <w:rsid w:val="00EB4EA2"/>
    <w:rsid w:val="00EB4F40"/>
    <w:rsid w:val="00EB5229"/>
    <w:rsid w:val="00EB635B"/>
    <w:rsid w:val="00EC1747"/>
    <w:rsid w:val="00EC24D5"/>
    <w:rsid w:val="00EC27C6"/>
    <w:rsid w:val="00EC365D"/>
    <w:rsid w:val="00EC4207"/>
    <w:rsid w:val="00EC4E36"/>
    <w:rsid w:val="00EC5653"/>
    <w:rsid w:val="00EC6255"/>
    <w:rsid w:val="00EC71CE"/>
    <w:rsid w:val="00ED0B45"/>
    <w:rsid w:val="00ED1006"/>
    <w:rsid w:val="00ED3AA1"/>
    <w:rsid w:val="00EE02B0"/>
    <w:rsid w:val="00EE03D5"/>
    <w:rsid w:val="00EE1084"/>
    <w:rsid w:val="00EE20B4"/>
    <w:rsid w:val="00EE28D8"/>
    <w:rsid w:val="00EE425C"/>
    <w:rsid w:val="00EE59CD"/>
    <w:rsid w:val="00EF10CD"/>
    <w:rsid w:val="00EF18FE"/>
    <w:rsid w:val="00EF5787"/>
    <w:rsid w:val="00EF60D0"/>
    <w:rsid w:val="00EF6940"/>
    <w:rsid w:val="00EF7A32"/>
    <w:rsid w:val="00EF7B69"/>
    <w:rsid w:val="00F00BA9"/>
    <w:rsid w:val="00F024C5"/>
    <w:rsid w:val="00F04D64"/>
    <w:rsid w:val="00F0528D"/>
    <w:rsid w:val="00F06B74"/>
    <w:rsid w:val="00F06C67"/>
    <w:rsid w:val="00F06DFD"/>
    <w:rsid w:val="00F07163"/>
    <w:rsid w:val="00F071D1"/>
    <w:rsid w:val="00F07533"/>
    <w:rsid w:val="00F10629"/>
    <w:rsid w:val="00F11DB7"/>
    <w:rsid w:val="00F11DF6"/>
    <w:rsid w:val="00F15CF3"/>
    <w:rsid w:val="00F15FA5"/>
    <w:rsid w:val="00F16439"/>
    <w:rsid w:val="00F174F1"/>
    <w:rsid w:val="00F17553"/>
    <w:rsid w:val="00F175D5"/>
    <w:rsid w:val="00F175D9"/>
    <w:rsid w:val="00F209B7"/>
    <w:rsid w:val="00F2221B"/>
    <w:rsid w:val="00F22ADB"/>
    <w:rsid w:val="00F2336B"/>
    <w:rsid w:val="00F2376F"/>
    <w:rsid w:val="00F243D8"/>
    <w:rsid w:val="00F26171"/>
    <w:rsid w:val="00F27B82"/>
    <w:rsid w:val="00F30828"/>
    <w:rsid w:val="00F30951"/>
    <w:rsid w:val="00F313D6"/>
    <w:rsid w:val="00F35D12"/>
    <w:rsid w:val="00F40F0C"/>
    <w:rsid w:val="00F41D33"/>
    <w:rsid w:val="00F41DBC"/>
    <w:rsid w:val="00F4589D"/>
    <w:rsid w:val="00F47310"/>
    <w:rsid w:val="00F4766C"/>
    <w:rsid w:val="00F505BB"/>
    <w:rsid w:val="00F5060E"/>
    <w:rsid w:val="00F507D1"/>
    <w:rsid w:val="00F519CE"/>
    <w:rsid w:val="00F51ADA"/>
    <w:rsid w:val="00F51B44"/>
    <w:rsid w:val="00F545BD"/>
    <w:rsid w:val="00F54B57"/>
    <w:rsid w:val="00F57EC4"/>
    <w:rsid w:val="00F60203"/>
    <w:rsid w:val="00F607C5"/>
    <w:rsid w:val="00F60DEA"/>
    <w:rsid w:val="00F618BC"/>
    <w:rsid w:val="00F61A74"/>
    <w:rsid w:val="00F6223B"/>
    <w:rsid w:val="00F6302A"/>
    <w:rsid w:val="00F63950"/>
    <w:rsid w:val="00F641EC"/>
    <w:rsid w:val="00F64C2B"/>
    <w:rsid w:val="00F651BE"/>
    <w:rsid w:val="00F660E3"/>
    <w:rsid w:val="00F66733"/>
    <w:rsid w:val="00F67F53"/>
    <w:rsid w:val="00F701ED"/>
    <w:rsid w:val="00F703BE"/>
    <w:rsid w:val="00F71F69"/>
    <w:rsid w:val="00F72B72"/>
    <w:rsid w:val="00F7456A"/>
    <w:rsid w:val="00F74BB9"/>
    <w:rsid w:val="00F74CE8"/>
    <w:rsid w:val="00F75582"/>
    <w:rsid w:val="00F756DF"/>
    <w:rsid w:val="00F76A32"/>
    <w:rsid w:val="00F76EFA"/>
    <w:rsid w:val="00F77184"/>
    <w:rsid w:val="00F804BE"/>
    <w:rsid w:val="00F80B02"/>
    <w:rsid w:val="00F817CE"/>
    <w:rsid w:val="00F81F05"/>
    <w:rsid w:val="00F83749"/>
    <w:rsid w:val="00F83DAD"/>
    <w:rsid w:val="00F8456C"/>
    <w:rsid w:val="00F84D7B"/>
    <w:rsid w:val="00F859D8"/>
    <w:rsid w:val="00F868F5"/>
    <w:rsid w:val="00F87998"/>
    <w:rsid w:val="00F9056A"/>
    <w:rsid w:val="00F905FC"/>
    <w:rsid w:val="00F90F8D"/>
    <w:rsid w:val="00F9171B"/>
    <w:rsid w:val="00F91C91"/>
    <w:rsid w:val="00F92782"/>
    <w:rsid w:val="00F93AA9"/>
    <w:rsid w:val="00F93E49"/>
    <w:rsid w:val="00F96985"/>
    <w:rsid w:val="00F97838"/>
    <w:rsid w:val="00F97B4D"/>
    <w:rsid w:val="00FA08C9"/>
    <w:rsid w:val="00FA2BB3"/>
    <w:rsid w:val="00FA3BF0"/>
    <w:rsid w:val="00FA426A"/>
    <w:rsid w:val="00FA5A0B"/>
    <w:rsid w:val="00FA6EDE"/>
    <w:rsid w:val="00FB04ED"/>
    <w:rsid w:val="00FB0AF2"/>
    <w:rsid w:val="00FB2E81"/>
    <w:rsid w:val="00FB3391"/>
    <w:rsid w:val="00FB4C80"/>
    <w:rsid w:val="00FB6A6A"/>
    <w:rsid w:val="00FB6F03"/>
    <w:rsid w:val="00FB74C7"/>
    <w:rsid w:val="00FB7707"/>
    <w:rsid w:val="00FC0D51"/>
    <w:rsid w:val="00FC2938"/>
    <w:rsid w:val="00FC3700"/>
    <w:rsid w:val="00FC3F30"/>
    <w:rsid w:val="00FC6923"/>
    <w:rsid w:val="00FC6C45"/>
    <w:rsid w:val="00FC7429"/>
    <w:rsid w:val="00FC7605"/>
    <w:rsid w:val="00FC78B2"/>
    <w:rsid w:val="00FD07F6"/>
    <w:rsid w:val="00FD196B"/>
    <w:rsid w:val="00FD1EC8"/>
    <w:rsid w:val="00FD2222"/>
    <w:rsid w:val="00FD47ED"/>
    <w:rsid w:val="00FD4C6A"/>
    <w:rsid w:val="00FD56DE"/>
    <w:rsid w:val="00FD6BB1"/>
    <w:rsid w:val="00FD74DB"/>
    <w:rsid w:val="00FD7660"/>
    <w:rsid w:val="00FE0655"/>
    <w:rsid w:val="00FE09AD"/>
    <w:rsid w:val="00FE2365"/>
    <w:rsid w:val="00FE2AE2"/>
    <w:rsid w:val="00FE37D7"/>
    <w:rsid w:val="00FE3A72"/>
    <w:rsid w:val="00FE4C7B"/>
    <w:rsid w:val="00FE7336"/>
    <w:rsid w:val="00FE787C"/>
    <w:rsid w:val="00FF0BCB"/>
    <w:rsid w:val="00FF2255"/>
    <w:rsid w:val="00FF45A5"/>
    <w:rsid w:val="00FF5324"/>
    <w:rsid w:val="00FF5C91"/>
    <w:rsid w:val="00FF68FB"/>
    <w:rsid w:val="00FF69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3DE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B3D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3DE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en-US"/>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01930">
      <w:bodyDiv w:val="1"/>
      <w:marLeft w:val="0"/>
      <w:marRight w:val="0"/>
      <w:marTop w:val="0"/>
      <w:marBottom w:val="0"/>
      <w:divBdr>
        <w:top w:val="none" w:sz="0" w:space="0" w:color="auto"/>
        <w:left w:val="none" w:sz="0" w:space="0" w:color="auto"/>
        <w:bottom w:val="none" w:sz="0" w:space="0" w:color="auto"/>
        <w:right w:val="none" w:sz="0" w:space="0" w:color="auto"/>
      </w:divBdr>
    </w:div>
    <w:div w:id="23024586">
      <w:bodyDiv w:val="1"/>
      <w:marLeft w:val="0"/>
      <w:marRight w:val="0"/>
      <w:marTop w:val="0"/>
      <w:marBottom w:val="0"/>
      <w:divBdr>
        <w:top w:val="none" w:sz="0" w:space="0" w:color="auto"/>
        <w:left w:val="none" w:sz="0" w:space="0" w:color="auto"/>
        <w:bottom w:val="none" w:sz="0" w:space="0" w:color="auto"/>
        <w:right w:val="none" w:sz="0" w:space="0" w:color="auto"/>
      </w:divBdr>
    </w:div>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476192521">
      <w:bodyDiv w:val="1"/>
      <w:marLeft w:val="0"/>
      <w:marRight w:val="0"/>
      <w:marTop w:val="0"/>
      <w:marBottom w:val="0"/>
      <w:divBdr>
        <w:top w:val="none" w:sz="0" w:space="0" w:color="auto"/>
        <w:left w:val="none" w:sz="0" w:space="0" w:color="auto"/>
        <w:bottom w:val="none" w:sz="0" w:space="0" w:color="auto"/>
        <w:right w:val="none" w:sz="0" w:space="0" w:color="auto"/>
      </w:divBdr>
    </w:div>
    <w:div w:id="480774376">
      <w:bodyDiv w:val="1"/>
      <w:marLeft w:val="0"/>
      <w:marRight w:val="0"/>
      <w:marTop w:val="0"/>
      <w:marBottom w:val="0"/>
      <w:divBdr>
        <w:top w:val="none" w:sz="0" w:space="0" w:color="auto"/>
        <w:left w:val="none" w:sz="0" w:space="0" w:color="auto"/>
        <w:bottom w:val="none" w:sz="0" w:space="0" w:color="auto"/>
        <w:right w:val="none" w:sz="0" w:space="0" w:color="auto"/>
      </w:divBdr>
    </w:div>
    <w:div w:id="521629710">
      <w:bodyDiv w:val="1"/>
      <w:marLeft w:val="0"/>
      <w:marRight w:val="0"/>
      <w:marTop w:val="0"/>
      <w:marBottom w:val="0"/>
      <w:divBdr>
        <w:top w:val="none" w:sz="0" w:space="0" w:color="auto"/>
        <w:left w:val="none" w:sz="0" w:space="0" w:color="auto"/>
        <w:bottom w:val="none" w:sz="0" w:space="0" w:color="auto"/>
        <w:right w:val="none" w:sz="0" w:space="0" w:color="auto"/>
      </w:divBdr>
    </w:div>
    <w:div w:id="545412896">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09288791">
      <w:bodyDiv w:val="1"/>
      <w:marLeft w:val="0"/>
      <w:marRight w:val="0"/>
      <w:marTop w:val="0"/>
      <w:marBottom w:val="0"/>
      <w:divBdr>
        <w:top w:val="none" w:sz="0" w:space="0" w:color="auto"/>
        <w:left w:val="none" w:sz="0" w:space="0" w:color="auto"/>
        <w:bottom w:val="none" w:sz="0" w:space="0" w:color="auto"/>
        <w:right w:val="none" w:sz="0" w:space="0" w:color="auto"/>
      </w:divBdr>
    </w:div>
    <w:div w:id="637999268">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300069280">
      <w:bodyDiv w:val="1"/>
      <w:marLeft w:val="0"/>
      <w:marRight w:val="0"/>
      <w:marTop w:val="0"/>
      <w:marBottom w:val="0"/>
      <w:divBdr>
        <w:top w:val="none" w:sz="0" w:space="0" w:color="auto"/>
        <w:left w:val="none" w:sz="0" w:space="0" w:color="auto"/>
        <w:bottom w:val="none" w:sz="0" w:space="0" w:color="auto"/>
        <w:right w:val="none" w:sz="0" w:space="0" w:color="auto"/>
      </w:divBdr>
    </w:div>
    <w:div w:id="1420523988">
      <w:bodyDiv w:val="1"/>
      <w:marLeft w:val="0"/>
      <w:marRight w:val="0"/>
      <w:marTop w:val="0"/>
      <w:marBottom w:val="0"/>
      <w:divBdr>
        <w:top w:val="none" w:sz="0" w:space="0" w:color="auto"/>
        <w:left w:val="none" w:sz="0" w:space="0" w:color="auto"/>
        <w:bottom w:val="none" w:sz="0" w:space="0" w:color="auto"/>
        <w:right w:val="none" w:sz="0" w:space="0" w:color="auto"/>
      </w:divBdr>
    </w:div>
    <w:div w:id="1453861513">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09237382">
      <w:bodyDiv w:val="1"/>
      <w:marLeft w:val="0"/>
      <w:marRight w:val="0"/>
      <w:marTop w:val="0"/>
      <w:marBottom w:val="0"/>
      <w:divBdr>
        <w:top w:val="none" w:sz="0" w:space="0" w:color="auto"/>
        <w:left w:val="none" w:sz="0" w:space="0" w:color="auto"/>
        <w:bottom w:val="none" w:sz="0" w:space="0" w:color="auto"/>
        <w:right w:val="none" w:sz="0" w:space="0" w:color="auto"/>
      </w:divBdr>
    </w:div>
    <w:div w:id="1612127014">
      <w:bodyDiv w:val="1"/>
      <w:marLeft w:val="0"/>
      <w:marRight w:val="0"/>
      <w:marTop w:val="0"/>
      <w:marBottom w:val="0"/>
      <w:divBdr>
        <w:top w:val="none" w:sz="0" w:space="0" w:color="auto"/>
        <w:left w:val="none" w:sz="0" w:space="0" w:color="auto"/>
        <w:bottom w:val="none" w:sz="0" w:space="0" w:color="auto"/>
        <w:right w:val="none" w:sz="0" w:space="0" w:color="auto"/>
      </w:divBdr>
    </w:div>
    <w:div w:id="1626155566">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655908001">
      <w:bodyDiv w:val="1"/>
      <w:marLeft w:val="0"/>
      <w:marRight w:val="0"/>
      <w:marTop w:val="0"/>
      <w:marBottom w:val="0"/>
      <w:divBdr>
        <w:top w:val="none" w:sz="0" w:space="0" w:color="auto"/>
        <w:left w:val="none" w:sz="0" w:space="0" w:color="auto"/>
        <w:bottom w:val="none" w:sz="0" w:space="0" w:color="auto"/>
        <w:right w:val="none" w:sz="0" w:space="0" w:color="auto"/>
      </w:divBdr>
    </w:div>
    <w:div w:id="1836262293">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21064978">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5514850">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758BB0-4CE6-4F1C-AB88-C6454BAE0199}">
  <ds:schemaRefs>
    <ds:schemaRef ds:uri="http://schemas.microsoft.com/sharepoint/v3/contenttype/forms"/>
  </ds:schemaRefs>
</ds:datastoreItem>
</file>

<file path=customXml/itemProps2.xml><?xml version="1.0" encoding="utf-8"?>
<ds:datastoreItem xmlns:ds="http://schemas.openxmlformats.org/officeDocument/2006/customXml" ds:itemID="{2208C797-CD86-4298-B3A9-E5CE1AFAFE0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69DF4B9-3F1D-4F04-A732-8206EEB4F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4263</Words>
  <Characters>22596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2019-08-15T22:54:00Z</dcterms:created>
  <dcterms:modified xsi:type="dcterms:W3CDTF">2019-08-16T16:23:00Z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